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Scientist specializing in machine learning, NLP, and agentic GenAI pipelines for healthcare-focused analytics. Delivered production-grade AI solutions, including an NHS performance analytics engine and a 98.84% accurate wildfire detection system deployed on cloud infrastructure.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Science &amp; Machine Learning: </w:t>
      </w:r>
      <w:r>
        <w:t>Python, SQL, Scikit-learn, TensorFlow, Keras, NLP</w:t>
      </w:r>
    </w:p>
    <w:p>
      <w:pPr>
        <w:spacing w:before="0" w:after="20"/>
      </w:pPr>
      <w:r>
        <w:rPr>
          <w:b/>
        </w:rPr>
        <w:t xml:space="preserve">GenAI &amp; LLMs: </w:t>
      </w:r>
      <w:r>
        <w:t>LLM API integration, prompt engineering, agentic pipelines, multi-model failover, Google Gemini API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AWS, Azure, Oracle Cloud, pytest, data pipelines, Next.js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England A&amp;E data using advanced SQL window functions and CTEs to identify drivers of the 4-hour target collapse, providing actionable insights for departmental resource allocation.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achieving 0.90–0.95 ROC-AUC to predict monthly breach risk, enabling proactive identification of crisis-status streaks.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surfacing critical KPIs, including a 12-hour waiter spike that reached 141× the March 2019 level by January 2026.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high-accuracy ML pipeline for wildfire detection using DenseNet CNNs on 2,700+ images, achieving 98.84% accuracy—a +16% improvement over baseline models.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Multi-Scale Retinex preprocessing and data augmentation to mitigate brightness variation and class imbalance, ensuring robust model performance.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advanced data modelling to visualize regional KPIs for stakeholder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rigorous feature engineering and cross-validation techniques.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