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Graduate 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Ambitious Data Scientist with an MSc in Computer Science, seeking to leverage expertise in SQL and cloud-based data architecture to deliver high-impact advisory outcomes within regulated financial environments. Available immediately for full-time engagement at your London office, bringing a strong consultative mindset to bridge the gap between complex technical data and strategic stakeholder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Strategy &amp; Consulting: </w:t>
      </w:r>
      <w:r>
        <w:t>Architecture mapping, Stakeholder communication, Requirement gathering, Technical documentation, Change management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SQL, Snowflake, Data modelling, Power BI, Tableau, Relational schemas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AWS, Azure, Oracle Cloud, API integration, Python, Data flows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deployed a production-grade agentic pipeline on Oracle Cloud, integrating Google Gemini APIs to automate data extraction and document generation.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robust API error handling, including rate-limiting and multi-model failover, to ensure 24/7 system availability.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data integrity and pipeline reliability before deployment.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Mapped 188 months of NHS England A&amp;E data flows to identify systemic drivers behind 4-hour target breaches, presenting findings to stakeholders to contextualize the impact of operational bottlenecks.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advanced SQL queries using window functions and CTEs to classify performance status, providing the data foundation for executive-level strategy discussions regarding resource allocation.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interactive Chart.js dashboard surfacing 6 live KPIs, facilitating stakeholder workshops by visualizing compliance seasonality and 12-hour waiter spikes.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interactive Power BI dashboards utilizing DAX and advanced data modelling to surface regional KPIs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Conducted reproducible data analysis experiments, documenting feature engineering processes and model selection criteria.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