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Automation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specialising in building production-grade agentic workflows and scalable Python-based automation services. Proven ability to deliver robust AI systems with multi-model failover and automated testing, seeking to apply engineering discipline within a governed enterprise environment.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Automation: </w:t>
      </w:r>
      <w:r>
        <w:t>Azure AI / Foundry, Copilot Studio, Agentic workflows, LLM API integration, Prompt engineering, Workflow orchestration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 (async, modular), Azure, REST APIs, CI/CD, pytest, Oracle Cloud, AWS</w:t>
      </w:r>
    </w:p>
    <w:p>
      <w:pPr>
        <w:spacing w:before="0" w:after="20"/>
      </w:pPr>
      <w:r>
        <w:rPr>
          <w:b/>
        </w:rPr>
        <w:t xml:space="preserve">Data &amp; Integration: </w:t>
      </w:r>
      <w:r>
        <w:t>SQL (window functions, CTEs), Pandas, NumPy, Power BI (DAX), System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advanced SQL-driven analytics using window functions and CTEs to classify 188 months of performance data, revealing a 29% target compliance rate.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with 0.90–0.95 ROC-AUC to predict breach risk, providing actionable insights for complex, regulated environments.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ML pipeline using DenseNet CNNs on 2,700+ images, achieving 98.84% accuracy—a +16% improvement over baseline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maintainability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