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Machine Learning Engineer, AI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Graduate Machine Learning Engineer with a Distinction in Computer Science and a proven track record of deploying agentic LLM pipelines and predictive ML models. Delivered a 98.84% accurate wildfire detection system and NHS performance analytics, demonstrating a strong foundation in applied AI research and software engineering.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Machine Learning, Generative AI, LLM API integration, TensorFlow, Scikit-learn, CNNs (DenseNet)</w:t>
      </w:r>
    </w:p>
    <w:p>
      <w:pPr>
        <w:spacing w:before="0" w:after="20"/>
      </w:pPr>
      <w:r>
        <w:rPr>
          <w:b/>
        </w:rPr>
        <w:t xml:space="preserve">Engineering &amp; Data: </w:t>
      </w:r>
      <w:r>
        <w:t>Python, SQL, Prototyping, pytest, Data Science, Cloud infrastructure</w:t>
      </w:r>
    </w:p>
    <w:p>
      <w:pPr>
        <w:spacing w:before="0" w:after="20"/>
      </w:pPr>
      <w:r>
        <w:rPr>
          <w:b/>
        </w:rPr>
        <w:t xml:space="preserve">Tools &amp; Platforms: </w:t>
      </w:r>
      <w:r>
        <w:t>AWS, Oracle Cloud, Power BI, Tableau, Next.js, OpenCV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reaching an 85% ATS match threshold, demonstrating rapid prototyping and iterative refinement.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Python pipeline featuring multi-model failover, exponential-backoff retries, and 121 automated unit tests using pytest to ensure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automated service on Oracle Cloud, integrating Google Gemini LLMs to score and rank ~50 job postings per run.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Predicted monthly A&amp;E breach risk with 0.90–0.95 ROC-AUC by applying Random Forest classifiers to 188 months of NHS performance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advanced SQL queries using window functions and CTEs to classify performance trends, revealing that the 95% target was met in only 29% of observed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interactive Chart.js dashboard to visualize seasonality heatmaps and 12-hour waiter spikes, translating complex data into actionable insights for public sector performance monitoring.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98.84% accuracy in wildfire detection by researching and implementing DenseNet-based CNNs, achieving a +16% performance gain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presenting findings to academic stakeholders to bridge the gap between research and practical application.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image processing pipelines using Multi-Scale Retinex and data augmentation to mitigate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modelling to surface KPIs and regional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support data-driven research.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