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 – Decision Science &amp; Modelling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Scientist specializing in decision science and predictive modelling with a strong foundation in applied statistics and Python-based analytical solutions. Delivered a Random Forest classifier achieving 0.95 ROC-AUC to predict healthcare breach risks, directly informing operational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Science &amp; Modelling: </w:t>
      </w:r>
      <w:r>
        <w:t>Statistical modelling, Machine learning, Forecasting, Experimental design, Scikit-learn, TensorFlow</w:t>
      </w:r>
    </w:p>
    <w:p>
      <w:pPr>
        <w:spacing w:before="0" w:after="20"/>
      </w:pPr>
      <w:r>
        <w:rPr>
          <w:b/>
        </w:rPr>
        <w:t xml:space="preserve">Technical Stack: </w:t>
      </w:r>
      <w:r>
        <w:t>Python, SQL, Pandas, NumPy, Power BI, Tableau</w:t>
      </w:r>
    </w:p>
    <w:p>
      <w:pPr>
        <w:spacing w:before="0" w:after="20"/>
      </w:pPr>
      <w:r>
        <w:rPr>
          <w:b/>
        </w:rPr>
        <w:t xml:space="preserve">Engineering &amp; Deployment: </w:t>
      </w:r>
      <w:r>
        <w:t>API integration, pytest, Oracle Cloud, AWS, Azure, Snowflake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Architected an agentic LLM pipeline that automates decision-making by scoring and ranking 50+ job postings per run, utilizing multi-model failover to ensure system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121 automated unit tests with pytest to validate pipeline integrity and ensure high standards of analytical rigour during production deployment on Oracle Cloud.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to predict monthly breach risk with 0.90–0.95 ROC-AUC, identifying rolling 3-month compliance history as a key predictive feature for operational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advanced SQL queries using window functions and CTEs to classify 188 months of imperfect, evolving NHS data, revealing that targets were met in only 29% of observed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 interactive Chart.js dashboard to visualize seasonality heatmaps and 12-hour waiter spikes, providing a decision-support tool for analyzing long-term performance degradation.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high-accuracy wildfire detection pipeline using DenseNet CNNs, achieving 98.84% accuracy—a 16% improvement over baseline architectures—by addressing brightness variation and class imbalance.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optimize model hyperparameters, ensuring robust performance across 2,700+ high-resolution images.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KPIs, supporting evidence-based decision-making for regional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focusing on feature engineering and model selection to translate business questions into tractable modelling problems.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