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specialising in predictive modelling, SQL, Power BI, and Python for large-scale data integration and machine learning. Delivered a Random Forest classifier achieving 0.95 ROC-AUC for NHS performance analytics and built interactive BI dashboards to drive strategic resource allocation.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predictive modelling, machine learning, statistical analysis, Scikit-learn, TensorFlow, cross-validation, model management</w:t>
      </w:r>
    </w:p>
    <w:p>
      <w:pPr>
        <w:spacing w:before="0" w:after="20"/>
      </w:pPr>
      <w:r>
        <w:rPr>
          <w:b/>
        </w:rPr>
        <w:t xml:space="preserve">Data Engineering &amp; BI: </w:t>
      </w:r>
      <w:r>
        <w:t>SQL, Power BI, Tableau, ETL processes, data integration, data quality, data governance</w:t>
      </w:r>
    </w:p>
    <w:p>
      <w:pPr>
        <w:spacing w:before="0" w:after="20"/>
      </w:pPr>
      <w:r>
        <w:rPr>
          <w:b/>
        </w:rPr>
        <w:t xml:space="preserve">Languages &amp; Cloud: </w:t>
      </w:r>
      <w:r>
        <w:t>Python, Pandas, NumPy, AWS, Oracle Cloud,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utilising rolling 3-month compliance history to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process 188 months of data, revealing the NHS met its 95% target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a 141x increase in 12-hour wait times compared to 2019 levels, providing diagnostic analysis that directly informed management recommendations for hospital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predictive ML model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reproducibility, and adherence to data science best practices.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regional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to support data-driven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