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Scientist with a strong foundation in predictive modelling and statistical analysis, focused on translating complex data into actionable business value and commercial strategy. Expert in building scalable data pipelines and deploying machine learning solutions that drive operational efficiency and proactive decision-making.</w:t>
      </w:r>
    </w:p>
    <w:p>
      <w:pPr>
        <w:keepNext/>
        <w:spacing w:before="200" w:after="40"/>
        <w:pBdr>
          <w:bottom w:val="single" w:sz="6" w:space="1" w:color="808080"/>
        </w:pBdr>
      </w:pPr>
      <w:r>
        <w:rPr>
          <w:b/>
          <w:sz w:val="22"/>
        </w:rPr>
        <w:t>CORE SKILLS</w:t>
      </w:r>
    </w:p>
    <w:p>
      <w:pPr>
        <w:spacing w:before="0" w:after="20"/>
      </w:pPr>
      <w:r>
        <w:rPr>
          <w:b/>
        </w:rPr>
        <w:t xml:space="preserve">Data Science &amp; Machine Learning: </w:t>
      </w:r>
      <w:r>
        <w:t>Python, SQL, Scikit-learn, TensorFlow, Predictive Modelling, Random Forest, Optimisation Algorithms</w:t>
      </w:r>
    </w:p>
    <w:p>
      <w:pPr>
        <w:spacing w:before="0" w:after="20"/>
      </w:pPr>
      <w:r>
        <w:rPr>
          <w:b/>
        </w:rPr>
        <w:t xml:space="preserve">Data Engineering &amp; BI: </w:t>
      </w:r>
      <w:r>
        <w:t>Power BI, Microsoft Fabric, Data Pipelines, ETL, Pandas, Data Modelling</w:t>
      </w:r>
    </w:p>
    <w:p>
      <w:pPr>
        <w:spacing w:before="0" w:after="20"/>
      </w:pPr>
      <w:r>
        <w:rPr>
          <w:b/>
        </w:rPr>
        <w:t xml:space="preserve">Development &amp; Cloud: </w:t>
      </w:r>
      <w:r>
        <w:t>Google Gemini API, Agentic Pipelines, pytest, Agile Scrum, Oracle Cloud, AWS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Partnered with stakeholders to identify drivers of A&amp;E performance, transforming 188 months of data into actionable insights that highlight the commercial and operational impact of target breaches.</w:t>
      </w:r>
    </w:p>
    <w:p>
      <w:pPr>
        <w:pStyle w:val="ListBullet"/>
        <w:spacing w:before="0" w:after="40"/>
        <w:ind w:left="360"/>
      </w:pPr>
      <w:r/>
      <w:r>
        <w:rPr>
          <w:sz w:val="21"/>
        </w:rPr>
        <w:t>Developed a Random Forest classifier (0.95 ROC-AUC) to predict breach risk, enabling leadership to shift from reactive reporting to proactive resource allocation and strategic planning.</w:t>
      </w:r>
    </w:p>
    <w:p>
      <w:pPr>
        <w:pStyle w:val="ListBullet"/>
        <w:spacing w:before="0" w:after="40"/>
        <w:ind w:left="360"/>
      </w:pPr>
      <w:r/>
      <w:r>
        <w:rPr>
          <w:sz w:val="21"/>
        </w:rPr>
        <w:t>Engineered advanced SQL queries to classify performance trends, providing clear evidence for decision-makers to evaluate the business value of current operational workflows.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Optimised a DenseNet-based CNN for early wildfire detection, achieving 98.84% accuracy and a 16% performance gain over baseline architectures.</w:t>
      </w:r>
    </w:p>
    <w:p>
      <w:pPr>
        <w:pStyle w:val="ListBullet"/>
        <w:spacing w:before="0" w:after="40"/>
        <w:ind w:left="360"/>
      </w:pPr>
      <w:r/>
      <w:r>
        <w:rPr>
          <w:sz w:val="21"/>
        </w:rPr>
        <w:t>Applied GridSearchCV and cross-validation to ensure model robustness, using data augmentation to mitigate class imbalance across 2,700+ high-resolution images.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KPIs and regional trends for decision-making.</w:t>
      </w:r>
    </w:p>
    <w:p>
      <w:pPr>
        <w:pStyle w:val="ListBullet"/>
        <w:spacing w:before="0" w:after="40"/>
        <w:ind w:left="360"/>
      </w:pPr>
      <w:r/>
      <w:r>
        <w:rPr>
          <w:sz w:val="21"/>
        </w:rPr>
        <w:t>Executed reproducible ML experiments with Scikit-learn, focusing on feature engineering and model selection to drive objective analytical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