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Scientist, EMEIA Sales, specializing in building intelligent, agentic, and machine learning-powered applications to drive operational efficiency. Proficient in Python, SQL, LLM API integration, and RAG architectures, with a proven track record of deploying agentic systems that optimize complex sales and operational data workflows. Successfully engineered production-grade AI pipelines that achieved an 85%+ ATS match threshold through iterative quality-gate loops. Committed to translating operational challenges into data-driven solutions while upskilling stakeholders on AI fundamentals, evidenced by a 98.84% accuracy rate in predictive modeling projects.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LLM: </w:t>
      </w:r>
      <w:r>
        <w:t>LLM API Integration, Agentic AI, Prompt Engineering, RAG Architectures, Vector Databases, Claude Code, Codex</w:t>
      </w:r>
    </w:p>
    <w:p>
      <w:pPr>
        <w:spacing w:before="0" w:after="20"/>
      </w:pPr>
      <w:r>
        <w:rPr>
          <w:b/>
        </w:rPr>
        <w:t xml:space="preserve">Data &amp; BI: </w:t>
      </w:r>
      <w:r>
        <w:t>SQL, Python, Pandas, NumPy, Power BI, Tableau, Excel (Advanced), Commercial Sales Data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Oracle Cloud VM,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API, pytest, Web Scraping, Data Modeling, EDA, BPR (Business Process Re-engineering)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Science  ·  Machine Learning  ·  Agentic AI Pipelines  ·  Commercial Sales Data Analysis  ·  RAG &amp; Vector Databases  ·  BPR (Business Process Re-engineering)  ·  Stakeholder Engagement  ·  Technical Communication  · 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production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outputs, ensuring an 85%+ ATS match threshold for operational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50+ job postings per run, utilizing LLM API integration and prompt engineering to automate complex data-driven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production-grade AI applications on Oracle Cloud VM, incorporating rate-limiting and exponential-backoff retries for robust API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high data quality and system reliability across the automation pipeline.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commercial sales and operational data to identify forensic trends, translating findings into actionable insights for business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visualize forensic technology outcomes, supporting strategic decision-making and BPR initiatives.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develop an AI-powered financial chatbot, gaining foundational experience in RAG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to interpret financial datasets, providing user-friendly analysis for non-technical stakeholders.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 to identify root causes of bugs and implemented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BPR (Business Process Re-engineering) initiatives to streamline software development workflows.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choice, augmentation,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ML results to stakeholders, translating technical model performance into clear, actionable insights.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commercial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