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ASOS’s commitment to using machine learning to influence customer experience and operational performance resonates with my approach to building robust, scalable solutions. My background in the full machine learning lifecycle—from problem formulation to production deployment—has been defined by a focus on delivering measurable business impact rather than building models in isolation.</w:t>
      </w:r>
    </w:p>
    <w:p>
      <w:pPr>
        <w:spacing w:before="0" w:after="160" w:line="276" w:lineRule="auto"/>
      </w:pPr>
      <w:r>
        <w:rPr>
          <w:sz w:val="21"/>
        </w:rPr>
        <w:t>During my MSc and personal projects, I have developed a strong foundation in Python, statistical modelling, and experimentation. For instance, I engineered an agentic LLM pipeline that maintains 24/7 production reliability on Oracle Cloud, utilizing 121 automated tests to ensure quality. In my analysis of 188 months of NHS performance data, I applied advanced SQL and Random Forest classifiers to achieve 0.90–0.95 ROC-AUC, translating these technical findings into clear, actionable insights. My work on wildfire detection, which achieved 98.84% accuracy, further demonstrates my ability to handle large-scale datasets and optimize model performance through rigorous validation.</w:t>
      </w:r>
    </w:p>
    <w:p>
      <w:pPr>
        <w:spacing w:before="0" w:after="160" w:line="276" w:lineRule="auto"/>
      </w:pPr>
      <w:r>
        <w:rPr>
          <w:sz w:val="21"/>
        </w:rPr>
        <w:t>I am particularly interested in how ASOS applies machine learning to optimize products and services. My experience with supervised and unsupervised learning, combined with my curiosity about causal inference and Bayesian methods, positions me to contribute effectively to your team’s scientific innovation. I am eager to bring my technical skills and collaborative mindset to a company that values evidence-based decision-making and technical excellence.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