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specialising in building production-ready machine learning, NLP, and generative AI systems. Expert in developing agentic LLM pipelines, PyTorch/TensorFlow deep learning models, and automated retraining workflows for large-scale, complex datasets. Proven track record of delivering 98.84% accurate classification systems and 24/7 production pipelines, with a strong foundation in knowledge graph concepts and drift detection. Successfully deployed a 24/7 production LLM pipeline featuring multi-model failover and 121 automated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PyTorch, TensorFlow, Scikit-learn, Deep Learning, Classification, Regression, Feature Engineering, Model Evaluation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Generative AI, LLMs, Google Gemini API, Agentic Pipelines, Prompt Engineering, Evidence-grounded generation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SQL, Power BI, Tableau, Data Modelling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pytest, Oracle Cloud, AWS S3, Azure, Snowflake, Web Scraping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Drift Detection, Automated Retraining, Knowledge Graphs, Ontologies, Taxonomies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intelligent content understanding  ·  information retrieval  ·  production systems  ·  drift detection  ·  automated retraining  ·  knowledge graphs  ·  ontologies  ·  taxonomies  ·  PyTorch  ·  supervised learning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A&amp;E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LLM pipeline featuring multi-model failover and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breach risk prediction achieving 0.90–0.95 ROC-AUC.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using Google Gemini LLMs to score, rank, and auto-tailor content.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production-ready monitoring for drift detection and automated retraining triggers to maintain model relevance in dynamic job markets.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support continuous improvement of the inference pipeline.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complex, heterogeneous NHS England A&amp;E performance data (Aug 2010 – Mar 2026)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(0.90–0.95 ROC-AUC), utilizing feature engineering to identify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taxonomies and data classification to structure NHS performance metrics for improved information retrieval.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with 6 live charts surfacing KPIs and seasonality heatmaps to communicate insights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PyTorch and TensorFlow-based DenseNet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— up to +16% over baseline architectures — by applying rigorous model evaluation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for robust hyperparameter tuning, ensuring the system is ready for integration into production-quality monitoring environments.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