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AI Training - Machine Learning Specialist (UK)</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PROFESSIONAL SUMMARY</w:t>
      </w:r>
    </w:p>
    <w:p>
      <w:pPr>
        <w:spacing w:before="0" w:after="40"/>
      </w:pPr>
      <w:r>
        <w:t>AI Training - Machine Learning Specialist with an MSc in Computer Science and extensive experience in model evaluation, deep learning, and LLM pipeline development. Expert in technical reasoning, debugging, and structured evaluation of complex ML architectures including DenseNet and agentic LLM systems. Proven track record of delivering high-accuracy results, such as a 98.84% accuracy wildfire detection model and a 0.95 ROC-AUC breach risk classifier. Adept at providing expert feedback on model robustness, data leakage detection, and methodology review to improve cutting-edge AI systems.</w:t>
      </w:r>
    </w:p>
    <w:p>
      <w:pPr>
        <w:keepNext/>
        <w:spacing w:before="200" w:after="40"/>
        <w:pBdr>
          <w:bottom w:val="single" w:sz="6" w:space="1" w:color="808080"/>
        </w:pBdr>
      </w:pPr>
      <w:r>
        <w:rPr>
          <w:b/>
          <w:sz w:val="22"/>
        </w:rPr>
        <w:t>CORE SKILLS</w:t>
      </w:r>
    </w:p>
    <w:p>
      <w:pPr>
        <w:spacing w:before="0" w:after="20"/>
      </w:pPr>
      <w:r>
        <w:rPr>
          <w:b/>
        </w:rPr>
        <w:t xml:space="preserve">Machine Learning: </w:t>
      </w:r>
      <w:r>
        <w:t>Model Evaluation, Deep Learning, Supervised Learning, Experimentation, Debugging, NLP, CV</w:t>
      </w:r>
    </w:p>
    <w:p>
      <w:pPr>
        <w:spacing w:before="0" w:after="20"/>
      </w:pPr>
      <w:r>
        <w:rPr>
          <w:b/>
        </w:rPr>
        <w:t xml:space="preserve">GenAI &amp; LLMs: </w:t>
      </w:r>
      <w:r>
        <w:t>General AI Training, Evals, Agentic pipelines, Prompt engineering, LLM API integration</w:t>
      </w:r>
    </w:p>
    <w:p>
      <w:pPr>
        <w:spacing w:before="0" w:after="20"/>
      </w:pPr>
      <w:r>
        <w:rPr>
          <w:b/>
        </w:rPr>
        <w:t xml:space="preserve">Languages: </w:t>
      </w:r>
      <w:r>
        <w:t>Python, SQL, JavaScript/TypeScript</w:t>
      </w:r>
    </w:p>
    <w:p>
      <w:pPr>
        <w:spacing w:before="0" w:after="20"/>
      </w:pPr>
      <w:r>
        <w:rPr>
          <w:b/>
        </w:rPr>
        <w:t xml:space="preserve">Data &amp; BI: </w:t>
      </w:r>
      <w:r>
        <w:t>Quality Analytics, Pandas, NumPy, Power BI, Tableau</w:t>
      </w:r>
    </w:p>
    <w:p>
      <w:pPr>
        <w:spacing w:before="0" w:after="20"/>
      </w:pPr>
      <w:r>
        <w:rPr>
          <w:b/>
        </w:rPr>
        <w:t xml:space="preserve">Tools &amp; Methods: </w:t>
      </w:r>
      <w:r>
        <w:t>Trust and Safety, Red Teaming, pytest, Oracle Cloud, AWS</w:t>
      </w:r>
    </w:p>
    <w:p>
      <w:pPr>
        <w:keepNext/>
        <w:spacing w:before="200" w:after="40"/>
        <w:pBdr>
          <w:bottom w:val="single" w:sz="6" w:space="1" w:color="808080"/>
        </w:pBdr>
      </w:pPr>
      <w:r>
        <w:rPr>
          <w:b/>
          <w:sz w:val="22"/>
        </w:rPr>
        <w:t>CORE COMPETENCIES</w:t>
      </w:r>
    </w:p>
    <w:p>
      <w:pPr>
        <w:spacing w:before="0" w:after="40"/>
      </w:pPr>
      <w:r>
        <w:t>model evaluation  ·  technical reasoning  ·  structured evaluation  ·  data leakage detection  ·  metrics interpretation  ·  methodology review  ·  model robustness  ·  supervised learning  ·  deep learning  ·  experimentation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on wildfire image detection, outperforming baseline architectures by +16%.</w:t>
      </w:r>
    </w:p>
    <w:p>
      <w:pPr>
        <w:pStyle w:val="ListBullet"/>
        <w:spacing w:before="0" w:after="40"/>
        <w:ind w:left="360"/>
      </w:pPr>
      <w:r/>
      <w:r>
        <w:rPr>
          <w:sz w:val="21"/>
        </w:rPr>
        <w:t>Developed a Random Forest classifier with 0.90–0.95 ROC-AUC for NHS performance risk prediction.</w:t>
      </w:r>
    </w:p>
    <w:p>
      <w:pPr>
        <w:pStyle w:val="ListBullet"/>
        <w:spacing w:before="0" w:after="40"/>
        <w:ind w:left="360"/>
      </w:pPr>
      <w:r/>
      <w:r>
        <w:rPr>
          <w:sz w:val="21"/>
        </w:rPr>
        <w:t>Executed 121 automated unit tests to ensure production-grade reliability for agentic LLM pipelines.</w:t>
      </w:r>
    </w:p>
    <w:p>
      <w:pPr>
        <w:pStyle w:val="ListBullet"/>
        <w:spacing w:before="0" w:after="40"/>
        <w:ind w:left="360"/>
      </w:pPr>
      <w:r/>
      <w:r>
        <w:rPr>
          <w:sz w:val="21"/>
        </w:rPr>
        <w:t>Analyzed 188 months of complex NHS performance data to identify drivers of 4-hour target breaches.</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Designed an agentic LLM pipeline for structured evaluation and automated scoring of job applications, ensuring high-quality output through rigorous prompt engineering.</w:t>
      </w:r>
    </w:p>
    <w:p>
      <w:pPr>
        <w:pStyle w:val="ListBullet"/>
        <w:spacing w:before="0" w:after="40"/>
        <w:ind w:left="360"/>
      </w:pPr>
      <w:r/>
      <w:r>
        <w:rPr>
          <w:sz w:val="21"/>
        </w:rPr>
        <w:t>Implemented a quality-gate loop that performs iterative model evaluation, re-scoring content until it meets an 85% ATS match threshold.</w:t>
      </w:r>
    </w:p>
    <w:p>
      <w:pPr>
        <w:pStyle w:val="ListBullet"/>
        <w:spacing w:before="0" w:after="40"/>
        <w:ind w:left="360"/>
      </w:pPr>
      <w:r/>
      <w:r>
        <w:rPr>
          <w:sz w:val="21"/>
        </w:rPr>
        <w:t>Executed comprehensive debugging and methodology review, including 121 automated unit tests (pytest) to ensure model robustness and reliability.</w:t>
      </w:r>
    </w:p>
    <w:p>
      <w:pPr>
        <w:pStyle w:val="ListBullet"/>
        <w:spacing w:before="0" w:after="40"/>
        <w:ind w:left="360"/>
      </w:pPr>
      <w:r/>
      <w:r>
        <w:rPr>
          <w:sz w:val="21"/>
        </w:rPr>
        <w:t>Applied content-based deduplication and multi-model failover strategies to maintain system integrity during high-volume AI training tasks.</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Performed deep-dive metrics interpretation on 188 months of NHS performance data, identifying critical drivers behind 4-hour target breaches.</w:t>
      </w:r>
    </w:p>
    <w:p>
      <w:pPr>
        <w:pStyle w:val="ListBullet"/>
        <w:spacing w:before="0" w:after="40"/>
        <w:ind w:left="360"/>
      </w:pPr>
      <w:r/>
      <w:r>
        <w:rPr>
          <w:sz w:val="21"/>
        </w:rPr>
        <w:t>Built a Random Forest classifier for predictive experimentation, achieving 0.90–0.95 ROC-AUC and identifying key features for performance risk.</w:t>
      </w:r>
    </w:p>
    <w:p>
      <w:pPr>
        <w:pStyle w:val="ListBullet"/>
        <w:spacing w:before="0" w:after="40"/>
        <w:ind w:left="360"/>
      </w:pPr>
      <w:r/>
      <w:r>
        <w:rPr>
          <w:sz w:val="21"/>
        </w:rPr>
        <w:t>Conducted rigorous data cleaning and methodology review using SQL window functions to classify performance trends and detect anomalies in 71,517 patient records.</w:t>
      </w:r>
    </w:p>
    <w:p>
      <w:pPr>
        <w:pStyle w:val="ListBullet"/>
        <w:spacing w:before="0" w:after="40"/>
        <w:ind w:left="360"/>
      </w:pPr>
      <w:r/>
      <w:r>
        <w:rPr>
          <w:sz w:val="21"/>
        </w:rPr>
        <w:t>Delivered structured evaluation of performance metrics via an interactive dashboard, providing technical depth on seasonality and compliance trends.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Engineered a deep learning pipeline for wildfire detection, achieving 98.84% accuracy—a +16% improvement over baseline architectures.</w:t>
      </w:r>
    </w:p>
    <w:p>
      <w:pPr>
        <w:pStyle w:val="ListBullet"/>
        <w:spacing w:before="0" w:after="40"/>
        <w:ind w:left="360"/>
      </w:pPr>
      <w:r/>
      <w:r>
        <w:rPr>
          <w:sz w:val="21"/>
        </w:rPr>
        <w:t>Applied expert model evaluation techniques, including GridSearchCV and cross-validation, to ensure the robustness of the DenseNet CNN.</w:t>
      </w:r>
    </w:p>
    <w:p>
      <w:pPr>
        <w:pStyle w:val="ListBullet"/>
        <w:spacing w:before="0" w:after="40"/>
        <w:ind w:left="360"/>
      </w:pPr>
      <w:r/>
      <w:r>
        <w:rPr>
          <w:sz w:val="21"/>
        </w:rPr>
        <w:t>Addressed data quality issues such as brightness variation and class imbalance through advanced preprocessing and Multi-Scale Retinex techniques.</w:t>
      </w:r>
    </w:p>
    <w:p>
      <w:pPr>
        <w:pStyle w:val="ListBullet"/>
        <w:spacing w:before="0" w:after="40"/>
        <w:ind w:left="360"/>
      </w:pPr>
      <w:r/>
      <w:r>
        <w:rPr>
          <w:sz w:val="21"/>
        </w:rPr>
        <w:t>Presented technical reasoning and performance results to academic stakeholders, demonstrating clarity in model methodology and experimental design.</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(DAX, data modelling) surfacing KPIs and region-based trends for decision-making.</w:t>
      </w:r>
    </w:p>
    <w:p>
      <w:pPr>
        <w:pStyle w:val="ListBullet"/>
        <w:spacing w:before="0" w:after="40"/>
        <w:ind w:left="360"/>
      </w:pPr>
      <w:r/>
      <w:r>
        <w:rPr>
          <w:sz w:val="21"/>
        </w:rPr>
        <w:t>Ran reproducible ML experiments with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