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Applied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Applied Scientist with an MSc in Computer Science, specializing in the full machine learning lifecycle from problem formulation to production deployment. Expert in Python, statistical modelling, and experimentation, with a proven ability to translate complex technical outputs into business recommendations. Delivered high-impact solutions including an agentic LLM pipeline with 121 automated tests and a predictive model achieving 0.90–0.95 ROC-AUC, demonstrating a strong foundation in causal inference and Bayesian methods through rigorous academic research.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statistical modelling, experimentation, model development, model evaluation, supervised learning, unsupervised learning, causal inference, Bayesian methods, Scikit-learn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data analysis, Power BI, Tableau, Pandas, NumPy</w:t>
      </w:r>
    </w:p>
    <w:p>
      <w:pPr>
        <w:spacing w:before="0" w:after="20"/>
      </w:pPr>
      <w:r>
        <w:rPr>
          <w:b/>
        </w:rPr>
        <w:t xml:space="preserve">Cloud &amp; DB: </w:t>
      </w:r>
      <w:r>
        <w:t>production deployment, Oracle Cloud, AWS S3,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MLOps, pytest, web scraping, Next.js, Node.js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causal inference  ·  Bayesian methods  ·  retail/e-commerce analytics  ·  predictive modelling  ·  model validation  ·  experimentation frameworks  ·  production deployment  ·  statistical modelling  ·  feature engineering  ·  MLOps practices  ·  cross-functional collaboration  ·  data-driven recommendations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with 121 automated tests, maintaining 24/7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critical performance drivers in 188 months of NHS data, achieving 0.90–0.95 ROC-AUC in breach risk prediction.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using DenseNet-based CNNs to solve complex classification challenges.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utilizing Google Gemini LLMs to score, rank, and auto-tailor content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MLOps practices including rate-limiting, exponential-backoff retries, and multi-model failover to maintain 24/7 production reliability on Oracle Cloud.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pipeline integrity and ensure scalable production deployment.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to identify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performance, revealing the 95% target was met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predictive modelling of monthly breach risk, achieving 0.90–0.95 ROC-AUC through rigorous feature engineering.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Quantified operational impact, noting January 2026 recorded 71,517 patients waiting 12+ hours — 141× the March 2019 level.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Outperformed baseline architectures by +16% by addressing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model robustness, visualising performance metrics to communicate findings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