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specialising in the full machine learning lifecycle, production deployment, and scalable AI solutions for complex environments. Proficient in Python, TensorFlow, and Scikit-learn, with hands-on experience building agentic pipelines, containerised applications using Docker, and high-accuracy predictive models. Committed to rigorous ethical AI governance and cross-functional technical mentorship, evidenced by a 98.84% accuracy rate in wildfire detection and 24/7 production-ready system deployment.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Scikit-learn, Keras, CNNs (DenseNet), model evaluation, cross-validation, model monitoring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Chart.js, exploratory data analysis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Docker, Oracle Cloud, AWS S3,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ELK stack, Apache NiFi, Geospatial intelligence, agentic pipelines, API integration,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full machine learning lifecycle  ·  production deployment  ·  containerisation (Docker)  ·  exploratory data analysis  ·  model monitoring  ·  ELK stack  ·  Apache NiFi  ·  Geospatial intelligence  ·  cross-functional technical mentorship  ·  ethical AI governance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accuracy in wildfire detection (+16% vs baseline)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for production-grade reliability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Analysis of 188 months of NHS data identifying 51-month crisis streak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/7 production deployment on Oracle Cloud with multi-model failover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integrating Google Gemini APIs to score and auto-tailor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AI-generated content until it clears an 85% ATS match threshold, ensuring production-ready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containerisation using Docker to ensure consistent environment parity across development and production deployment stages.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incorporating multi-model failover, rate-limiting, and exponential-backoff retries for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pipeline integrity and ensure robust performance during deployment.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(Aug 2010 – Mar 2026) to identify the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revealing the 95% target was met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predicting monthly breach risk (0.90–0.95 ROC-AUC), with rolling 3-month compliance history identified as the strongest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with 6 live charts, visualising 12-hour waiter spikes and seasonality heatmaps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Provided technical guidance to peer researchers on model selection and feature engineering, facilitating cross-functional collaboration on project documentation.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