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August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 at Vitality. Having closely followed your pioneering work in shared-value insurance, I am drawn to your commitment to using data and AI to improve health outcomes and operational efficiency. My background in Computer Science, coupled with my hands-on experience in predictive modelling and automated workflows, positions me to contribute effectively to your underwriting and claims initiatives.</w:t>
      </w:r>
    </w:p>
    <w:p>
      <w:pPr>
        <w:spacing w:before="0" w:after="160" w:line="276" w:lineRule="auto"/>
      </w:pPr>
      <w:r>
        <w:rPr>
          <w:sz w:val="21"/>
        </w:rPr>
        <w:t>During my recent projects, I have focused on translating complex, large-scale datasets into clear, actionable insights. For instance, I developed a Random Forest classifier that achieved a 0.95 ROC-AUC in predicting NHS A&amp;E breach risks. This work required not only advanced SQL and Python skills but also the ability to communicate technical findings to stakeholders to support operational decision-making. Furthermore, I have experience in the full end-to-end lifecycle of model development, having deployed an agentic LLM pipeline on cloud infrastructure that maintains 24/7 reliability through multi-model failover and automated testing.</w:t>
      </w:r>
    </w:p>
    <w:p>
      <w:pPr>
        <w:spacing w:before="0" w:after="160" w:line="276" w:lineRule="auto"/>
      </w:pPr>
      <w:r>
        <w:rPr>
          <w:sz w:val="21"/>
        </w:rPr>
        <w:t>I am particularly interested in how Vitality leverages data to incentivise healthier lives. My experience in building production-grade analytical assets and my focus on delivering measurable business value align with your team’s objectives. I am comfortable working in hybrid environments and am eager to collaborate with your Underwriting, Claims, and Technology teams to develop the next generation of AI-enabled solutions.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excited about the possibility of joining a team recognised as one of the best places to work and look forward to the potential of contributing to Vitality’s continued success.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