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Science Intern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specializing in machine learning, predictive analytics, and data visualization. Proven ability to deliver actionable business insights through advanced SQL querying, exploratory data analysis, and high-accuracy machine learning model development.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Science &amp; Machine Learning: </w:t>
      </w:r>
      <w:r>
        <w:t>Python, Scikit-learn, TensorFlow, NumPy, Pandas, Predictive analytics</w:t>
      </w:r>
    </w:p>
    <w:p>
      <w:pPr>
        <w:spacing w:before="0" w:after="20"/>
      </w:pPr>
      <w:r>
        <w:rPr>
          <w:b/>
        </w:rPr>
        <w:t xml:space="preserve">Data Visualization &amp; BI: </w:t>
      </w:r>
      <w:r>
        <w:t>Power BI, Tableau, Matplotlib, Seaborn, Chart.js</w:t>
      </w:r>
    </w:p>
    <w:p>
      <w:pPr>
        <w:spacing w:before="0" w:after="20"/>
      </w:pPr>
      <w:r>
        <w:rPr>
          <w:b/>
        </w:rPr>
        <w:t xml:space="preserve">Engineering &amp; Tools: </w:t>
      </w:r>
      <w:r>
        <w:t>SQL, Git, AWS, Oracle Cloud,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the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every month as On Target / Warning / Crisis, revealing the NHS met its 95% target in only 55 of 188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