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AI Software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Junior AI Software Engineer with a Distinction-grade MSc in Computer Science and hands-on experience building agentic LLM pipelines. Successfully deployed a production-grade AI-SDLC system featuring 121 automated tests and multi-model failover to ensure 24/7 reliability.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Software Engineering: </w:t>
      </w:r>
      <w:r>
        <w:t>Python, LLM API integration, agentic pipelines, pytest, model evaluation</w:t>
      </w:r>
    </w:p>
    <w:p>
      <w:pPr>
        <w:spacing w:before="0" w:after="20"/>
      </w:pPr>
      <w:r>
        <w:rPr>
          <w:b/>
        </w:rPr>
        <w:t xml:space="preserve">Development &amp; Cloud: </w:t>
      </w:r>
      <w:r>
        <w:t>JavaScript, TypeScript, Next.js, Oracle Cloud, AWS, Git</w:t>
      </w:r>
    </w:p>
    <w:p>
      <w:pPr>
        <w:spacing w:before="0" w:after="20"/>
      </w:pPr>
      <w:r>
        <w:rPr>
          <w:b/>
        </w:rPr>
        <w:t xml:space="preserve">Data &amp; Analysis: </w:t>
      </w:r>
      <w:r>
        <w:t>SQL, Pandas, NumPy, Power BI, Tableau, API integration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validates AI-generated outputs against an 85% ATS match threshold, ensuring high-quality, specification-led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robust Python pipeline integrating Google Gemini LLMs to automate software delivery workflows, maintaining strict traceability between requirements and implementation.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121 automated unit tests using pytest to validate code suggestions and ensure alignment with engineering standards and security best practices.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cloud-native service on Oracle Cloud with multi-model failover, rate-limiting, and exponential-backoff retries to ensure operational resilience.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across a full-stack environment using Next.js and Tailwind CSS to create responsive dashboards for monitoring AI-SDLC performance.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performance data using advanced SQL window functions and CTEs to identify reusable logic and patterns in system-wide service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with 0.90–0.95 ROC-AUC to predict breach risk, providing actionable insights for service-level improvements.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16% accuracy improvement over baseline architectures by applying GridSearchCV and cross-validation to optimize model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ML pipeline robustness through rigorous data augmentation and Multi-Scale Retinex preprocessing on 2,700+ high-resolution images.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to surface KPIs, translating complex data into structured specifications for stakeholder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Scikit-learn for reproducible ML experiments, ensuring consistent feature engineering and model selection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