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Data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MSc Computer Science graduate with a strong desire to transition into a data-driven career and master the fundamentals of business intelligence. Committed to leveraging analytical skills and a passion for data storytelling to deliver actionable insights that drive informed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SQL, Advanced Excel,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</w:t>
      </w:r>
    </w:p>
    <w:p>
      <w:pPr>
        <w:spacing w:before="0" w:after="20"/>
      </w:pPr>
      <w:r>
        <w:rPr>
          <w:b/>
        </w:rPr>
        <w:t xml:space="preserve">Analytics: </w:t>
      </w:r>
      <w:r>
        <w:t>Scikit-learn, Predictive modelling, Data storytelling, Statistical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 to identify the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trends, revealing the NHS met its 95% target in only 29% of the observed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51-month Crisis-status streak since October 2021, providing clear business insight into the scale of the 12-hour waiting time surge.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classification pipeline for wildfire detection using DenseNet architectures,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augmentation and preprocessing techniques to improve model robustness and performance on high-resolution imagery.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regional KPIs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data experiments, applying feature engineering and model selection best practices to extract meaningful patterns.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