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a focus on building reliable, auditable AI workflows that automate complex business processes. Experienced in designing production-grade retrieval pipelines and decision logic that provide measurable value to stakeholders through improved accuracy and operational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LLM API integration, Retrieval pipelines, Prompt engineering, Model evaluation, CNNs (DenseNet), Scikit-learn</w:t>
      </w:r>
    </w:p>
    <w:p>
      <w:pPr>
        <w:spacing w:before="0" w:after="20"/>
      </w:pPr>
      <w:r>
        <w:rPr>
          <w:b/>
        </w:rPr>
        <w:t xml:space="preserve">Engineering &amp; Data: </w:t>
      </w:r>
      <w:r>
        <w:t>Python, SQL, Data pipelines, pytest, Distributed systems, Data governance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Oracle Cloud, AWS S3, Vercel, Next.js, Node.js, Azure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regulated NHS performance data to identify systemic drivers of service breaches, supporting data-driven policy recommendations.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Random Forest classifier (0.90–0.95 ROC-AUC) to predict breach risk, enabling proactive resource allocation for hospital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advanced SQL window functions and CTEs to maintain data integrity across complex, multi-year datasets.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achieving 98.84% accuracy, demonstrating high-precision model performance in resource-constrained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cross-validation and GridSearchCV to ensure model robustness and reliability before academic presentation.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surfacing KPIs for decision-making, ensuring data is presented in an auditable and clear format.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improve model interpretability.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