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the design and deployment of production-ready AI and machine learning systems. Proven track record in building resilient, scalable workflows using Python, Docker, and CI/CD pipelines to deliver measurable operational impact.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Engineering: </w:t>
      </w:r>
      <w:r>
        <w:t>Python, Agentic AI, LLM Integration, Docker, Kubernetes, CI/CD, pytest</w:t>
      </w:r>
    </w:p>
    <w:p>
      <w:pPr>
        <w:spacing w:before="0" w:after="20"/>
      </w:pPr>
      <w:r>
        <w:rPr>
          <w:b/>
        </w:rPr>
        <w:t xml:space="preserve">Data &amp; ML: </w:t>
      </w:r>
      <w:r>
        <w:t>TensorFlow, Scikit-learn, SQL, Pandas, NumPy, Model Evaluation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AWS, Oracle Cloud, Vercel,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performance,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months, with January 2026 recording 71,517 patients waiting 12+ hours—141×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CI/CD workflows to automate model training and validation, ensuring robust performance across brightness variations and class imbalances.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presenting performance metrics and deployment feasibility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