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Machine Learning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specializing in production-ready LLM pipelines, CI/CD, and model lifecycle automation. Delivered a 24/7 agentic AI platform with 121 automated tests, achieving an 85% ATS-match threshold for automated deployments.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MLOps &amp; Engineering: </w:t>
      </w:r>
      <w:r>
        <w:t>CI/CD, MLflow, Airflow, Databricks, pytest, Production monitoring, Model governance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LLM pipelines, Agentic workflows, Python, TensorFlow, Scikit-learn, SHAP/LIME, Model evaluation</w:t>
      </w:r>
    </w:p>
    <w:p>
      <w:pPr>
        <w:spacing w:before="0" w:after="20"/>
      </w:pPr>
      <w:r>
        <w:rPr>
          <w:b/>
        </w:rPr>
        <w:t xml:space="preserve">Data &amp; Analytics: </w:t>
      </w:r>
      <w:r>
        <w:t>SQL, Pandas, NumPy, Power BI, Tableau, Data modelling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to maintain an 85% ATS-match threshold before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LLM pipeline on Oracle Cloud featuring multi-model failover, rate-limiting, and exponential-backoff retries to ensure system reliability.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integrity and ensure production-ready code standards.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run, utilizing Google Gemini LLMs for automated scoring and ranking.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Established foundational model governance by implementing automated content-based deduplication and scoring thresholds.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to identify drivers behind the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achieving 0.90–0.95 ROC-AUC to predict monthly breach risk, identifying seasonality and compliance history as key predictive features.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complex SQL queries using window functions and CTEs to reveal the NHS met its 95% target in only 55 of 188 months (29% of the time).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images, achieving 98.84% accuracy (+16% over baseline).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robustness, with foundational exposure to model explainability concepts like SHAP/LIME for feature importance.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