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Analyst specializing in SQL, Python, and automated BI reporting, with a focus on dbt, BigQuery, and Hex-driven analytics pipelines. Delivered a 98.84% accurate ML pipeline and automated regulatory performance reporting for NHS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Engineering &amp; Analytics: </w:t>
      </w:r>
      <w:r>
        <w:t>SQL, dbt (Data Build Tool), BigQuery, Hex BI, Fivetran, Postgres, Data Modelling, Data Governance, Automation</w:t>
      </w:r>
    </w:p>
    <w:p>
      <w:pPr>
        <w:spacing w:before="0" w:after="20"/>
      </w:pPr>
      <w:r>
        <w:rPr>
          <w:b/>
        </w:rPr>
        <w:t xml:space="preserve">Languages &amp; Cloud: </w:t>
      </w:r>
      <w:r>
        <w:t>Python, Git, Oracle Cloud, AWS, Azure, Snowflake</w:t>
      </w:r>
    </w:p>
    <w:p>
      <w:pPr>
        <w:spacing w:before="0" w:after="20"/>
      </w:pPr>
      <w:r>
        <w:rPr>
          <w:b/>
        </w:rPr>
        <w:t xml:space="preserve">BI &amp; Reporting: </w:t>
      </w:r>
      <w:r>
        <w:t>Power BI, Tableau, Advanced Excel, Dashboards, Regulatory Reporting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to support regulatory reporting, identifying that the 95% target was met in only 29% (55/188)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(window functions, CTEs) to maintain data integrity, revealing a 141x increase in 12+ hour wait times compared to March 2019 levels.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to provide stakeholders with actionable insights into compliance trends, seasonality heatmaps, and status breakdowns.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(0.90–0.95 ROC-AUC) to predict breach risk, applying data governance best practices to ensure model reliability for decision-making.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clearing an 85% ATS match threshold, ensuring high-quality automated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robust Python pipeline for data extraction and transformation, incorporating 121 automated unit tests with pytest to maintain data integrity and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automated pipeline on Oracle Cloud, utilizing Git for version control and managing multi-model failover to ensure continuous service availability.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by building an end-to-end ML pipeline, outperforming baseline architectures by +16% through rigorous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performance and ensure robust data governance in the classification of 2,700+ high-resolution images.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modelling to surface KPIs and regional trends for stakeholder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feature engineering best practices to improve model predictive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