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with a Distinction-level MSc in Computer Science, specialising in Machine Learning, Python, and SQL for predictive modelling. Delivered a 0.95 ROC-AUC Random Forest model for NHS performance analytics, directly informing operational decision-making and resource allocation.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Predictive Modelling: </w:t>
      </w:r>
      <w:r>
        <w:t>Predictive models, Machine Learning, Scikit-learn, Random Forest, TensorFlow, Model evaluation, Cross-validation</w:t>
      </w:r>
    </w:p>
    <w:p>
      <w:pPr>
        <w:spacing w:before="0" w:after="20"/>
      </w:pPr>
      <w:r>
        <w:rPr>
          <w:b/>
        </w:rPr>
        <w:t xml:space="preserve">Languages &amp; Data Engineering: </w:t>
      </w:r>
      <w:r>
        <w:t>Python, SQL, Pandas, NumPy, ETL pipelines, Data modelling, Automation</w:t>
      </w:r>
    </w:p>
    <w:p>
      <w:pPr>
        <w:spacing w:before="0" w:after="20"/>
      </w:pPr>
      <w:r>
        <w:rPr>
          <w:b/>
        </w:rPr>
        <w:t xml:space="preserve">BI &amp; Stakeholder Communication: </w:t>
      </w:r>
      <w:r>
        <w:t>Power BI, Tableau, Dashboard development, Data analysis, KPI reporting, Stakeholder engagement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achieving 0.90–0.95 ROC-AUC to predict monthly breach risk, providing actionable insights for operational resource allocation.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complex SQL queries using window functions and CTEs to classify 188 months of performance data, revealing the NHS met its 95% target in only 29% of observed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the scale of the 4-hour target collapse, identifying a 51-month 'Crisis' streak and a 141× increase in 12+ hour wait times since 2019.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surfacing 6 live KPIs, including seasonality heatmaps and 12-hour waiter spikes, to support data-driven operational decision-making.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agentic LLM pipeline using Python and Google Gemini API to automate resume tailoring, achieving an 85% ATS match threshold through iterative quality-gate loops.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multi-model failover, exponential-backoff retries, and 121 automated unit tests via pytest to ensure system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Oracle Cloud infrastructure, managing the full end-to-end lifecycle from problem definition to production implementation.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DenseNet-based CNN pipeline on 2,700+ images, achieving 98.84% accuracy and a +16% performance gain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presenting technical findings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advanced data modelling to surface regional KPIs and performance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and model selection techniques.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