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Automation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Automation Engineer specialising in building production-grade agentic LLM pipelines and scalable automated workflows. Expert in Python-based service development, Azure AI integration, and implementing AI governance frameworks within regulated environments. Proven track record of delivering high-impact automation, including a 24/7 agentic platform with multi-model failover and 121 unit tests, achieving a 98.84% accuracy rate in complex classification tasks.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Automation: </w:t>
      </w:r>
      <w:r>
        <w:t>agentic pipelines, Copilot Studio, Azure AI, LLM API integration, prompt engineering, workflow orchestration, AI governance</w:t>
      </w:r>
    </w:p>
    <w:p>
      <w:pPr>
        <w:spacing w:before="0" w:after="20"/>
      </w:pPr>
      <w:r>
        <w:rPr>
          <w:b/>
        </w:rPr>
        <w:t xml:space="preserve">Cloud &amp; Platforms: </w:t>
      </w:r>
      <w:r>
        <w:t>Azure, Docker, Kubernetes, Oracle Cloud, AWS, Snowflake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TypeScript, GraphQL</w:t>
      </w:r>
    </w:p>
    <w:p>
      <w:pPr>
        <w:spacing w:before="0" w:after="20"/>
      </w:pPr>
      <w:r>
        <w:rPr>
          <w:b/>
        </w:rPr>
        <w:t xml:space="preserve">Engineering &amp; Tools: </w:t>
      </w:r>
      <w:r>
        <w:t>CI/CD, pytest, REST APIs, Git, authentication protocols, containerisation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agentic pipelines  ·  Copilot Studio  ·  Azure AI governance  ·  production-grade applications  ·  automated testing  ·  REST/GraphQL APIs  ·  containerisation (Docker/Kubernetes)  ·  financial/tax data analysis  ·  CI/CD pipelines  ·  event-driven architectures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with 121 automated unit tests and 85% ATS match threshold logic.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processing of ~50 job postings per run using Google Gemini LLMs and Python-based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production-grade services on cloud infrastructure with multi-model failover and content-based deduplication.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integrating REST APIs and GraphQL for data retrieval.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it clears an 85% ATS match threshold, incorporating prompt versioning and AI governance principles.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system maintainability and robust performance within the CI/CD lifecycle.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foundational exposure to containerisation via Docker for environment consistency.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 — up to +16%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 and presented results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