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an MSc in Computer Science specializing in production-grade agentic AI systems and LLM pipelines. Expert in Python, AWS, and RAG-based retrieval systems, with hands-on experience in Docker, Kubernetes, and microservices architecture. Proven track record of deploying 24/7 scalable AI applications, including an agentic pipeline with 121 automated tests. Delivered a 98.84% accuracy rate on wildfire detection, demonstrating high-impact engineering capabilities.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LLMs, RAG, Agentic AI, TensorFlow, Keras, Scikit-learn, DenseNet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AWS, Docker, Kubernetes, Microservices, Cloud-native services, APIs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SQL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Next.js, Node.js, Tailwind CSS, Oracle Cloud, Vercel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RAG (Retrieval-Augmented Generation)  ·  vector embeddings  ·  Docker/Kubernetes containerization  ·  microservices architecture  ·  agentic workflows  ·  multi-step AI pipelines  ·  production AI applications  ·  cloud-native services  ·  automated unit tests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agentic LLM pipeline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+16% over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processing of ~50 job postings per run using LLM-based scoring.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85% ATS match threshold via iterative quality-gate loops.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deployed production AI applications using Python to scrape ~50 job postings per run, integrating RAG and vector embeddings for context-aware retrieval.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agentic workflows and multi-step AI pipelines, containerizing services with Docker and Kubernetes to ensure scalable, cloud-native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threshold, utilizing microservices architecture for modular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AI reliability by implementing multi-model failover, exponential-backoff retries, and 121 automated unit tests with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managing backend APIs and cloud-native services for high availability.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100% of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