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 until August 2027</w:t>
      </w:r>
    </w:p>
    <w:p>
      <w:pPr>
        <w:keepNext/>
        <w:spacing w:before="200" w:after="40"/>
        <w:pBdr>
          <w:bottom w:val="single" w:sz="6" w:space="1" w:color="808080"/>
        </w:pBdr>
      </w:pPr>
      <w:r>
        <w:rPr>
          <w:b/>
          <w:sz w:val="22"/>
        </w:rPr>
        <w:t>PROFESSIONAL SUMMARY</w:t>
      </w:r>
    </w:p>
    <w:p>
      <w:pPr>
        <w:spacing w:before="0" w:after="40"/>
      </w:pPr>
      <w:r>
        <w:t>Data Scientist with an MSc in Computer Science, specializing in AI/ML and full-lifecycle deployment for complex operational environments. Expert in Python, TensorFlow, and Scikit-learn, with a proven track record of applying advanced analytics to engineering challenges, including wildfire detection and agentic system optimization. Committed to driving innovation in the energy sector by translating emerging technologies into practical, resilient solutions for electricity networks and smart grids, evidenced by a 98.84% accuracy rate in high-stakes image classification.</w:t>
      </w:r>
    </w:p>
    <w:p>
      <w:pPr>
        <w:keepNext/>
        <w:spacing w:before="200" w:after="40"/>
        <w:pBdr>
          <w:bottom w:val="single" w:sz="6" w:space="1" w:color="808080"/>
        </w:pBdr>
      </w:pPr>
      <w:r>
        <w:rPr>
          <w:b/>
          <w:sz w:val="22"/>
        </w:rPr>
        <w:t>CORE SKILLS</w:t>
      </w:r>
    </w:p>
    <w:p>
      <w:pPr>
        <w:spacing w:before="0" w:after="20"/>
      </w:pPr>
      <w:r>
        <w:rPr>
          <w:b/>
        </w:rPr>
        <w:t xml:space="preserve">Machine Learning: </w:t>
      </w:r>
      <w:r>
        <w:t>TensorFlow, Keras, Scikit-learn, CNNs (DenseNet), model evaluation, cross-validation, simulation frameworks</w:t>
      </w:r>
    </w:p>
    <w:p>
      <w:pPr>
        <w:spacing w:before="0" w:after="20"/>
      </w:pPr>
      <w:r>
        <w:rPr>
          <w:b/>
        </w:rPr>
        <w:t xml:space="preserve">Languages: </w:t>
      </w:r>
      <w:r>
        <w:t>Python, SQL, JavaScript/TypeScript</w:t>
      </w:r>
    </w:p>
    <w:p>
      <w:pPr>
        <w:spacing w:before="0" w:after="20"/>
      </w:pPr>
      <w:r>
        <w:rPr>
          <w:b/>
        </w:rPr>
        <w:t xml:space="preserve">Data &amp; BI: </w:t>
      </w:r>
      <w:r>
        <w:t>Pandas, NumPy, Power BI, Tableau, Advanced Excel</w:t>
      </w:r>
    </w:p>
    <w:p>
      <w:pPr>
        <w:spacing w:before="0" w:after="20"/>
      </w:pPr>
      <w:r>
        <w:rPr>
          <w:b/>
        </w:rPr>
        <w:t xml:space="preserve">Cloud &amp; DB: </w:t>
      </w:r>
      <w:r>
        <w:t>Oracle Cloud, AWS S3, Azure, Snowflake, Vercel</w:t>
      </w:r>
    </w:p>
    <w:p>
      <w:pPr>
        <w:spacing w:before="0" w:after="20"/>
      </w:pPr>
      <w:r>
        <w:rPr>
          <w:b/>
        </w:rPr>
        <w:t xml:space="preserve">Tools &amp; Methods: </w:t>
      </w:r>
      <w:r>
        <w:t>pytest, agentic pipelines, prompt engineering, web scraping, data modelling</w:t>
      </w:r>
    </w:p>
    <w:p>
      <w:pPr>
        <w:keepNext/>
        <w:spacing w:before="200" w:after="40"/>
        <w:pBdr>
          <w:bottom w:val="single" w:sz="6" w:space="1" w:color="808080"/>
        </w:pBdr>
      </w:pPr>
      <w:r>
        <w:rPr>
          <w:b/>
          <w:sz w:val="22"/>
        </w:rPr>
        <w:t>CORE COMPETENCIES</w:t>
      </w:r>
    </w:p>
    <w:p>
      <w:pPr>
        <w:spacing w:before="0" w:after="40"/>
      </w:pPr>
      <w:r>
        <w:t>energy sector &amp; smart grids  ·  AI/ML in operational settings  ·  full lifecycle of innovation  ·  feasibility assessment  ·  prototyping  ·  testing  ·  deployment  ·  multidisciplinary teams  ·  stakeholder engagement  ·  electricity networks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on wildfire image detection, outperforming baseline architectures by +16%.</w:t>
      </w:r>
    </w:p>
    <w:p>
      <w:pPr>
        <w:pStyle w:val="ListBullet"/>
        <w:spacing w:before="0" w:after="40"/>
        <w:ind w:left="360"/>
      </w:pPr>
      <w:r/>
      <w:r>
        <w:rPr>
          <w:sz w:val="21"/>
        </w:rPr>
        <w:t>Engineered an agentic quality-gate loop that iterates AI-tailored outputs until clearing an 85% ATS match threshold.</w:t>
      </w:r>
    </w:p>
    <w:p>
      <w:pPr>
        <w:pStyle w:val="ListBullet"/>
        <w:spacing w:before="0" w:after="40"/>
        <w:ind w:left="360"/>
      </w:pPr>
      <w:r/>
      <w:r>
        <w:rPr>
          <w:sz w:val="21"/>
        </w:rPr>
        <w:t>Deployed 24/7 production infrastructure on Oracle Cloud VM with 121 automated unit tests using pytest.</w:t>
      </w:r>
    </w:p>
    <w:p>
      <w:pPr>
        <w:pStyle w:val="ListBullet"/>
        <w:spacing w:before="0" w:after="40"/>
        <w:ind w:left="360"/>
      </w:pPr>
      <w:r/>
      <w:r>
        <w:rPr>
          <w:sz w:val="21"/>
        </w:rPr>
        <w:t>Processed 2,700+ high-resolution images for deep learning classification to support operational decision-making.</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utilizing Google Gemini LLMs to score and rank matches for automated technical solution generation.</w:t>
      </w:r>
    </w:p>
    <w:p>
      <w:pPr>
        <w:pStyle w:val="ListBullet"/>
        <w:spacing w:before="0" w:after="40"/>
        <w:ind w:left="360"/>
      </w:pPr>
      <w:r/>
      <w:r>
        <w:rPr>
          <w:sz w:val="21"/>
        </w:rPr>
        <w:t>Engineered an agentic quality-gate loop that performs feasibility assessment and iterative re-scoring to ensure outputs meet an 85% ATS match threshold before deployment.</w:t>
      </w:r>
    </w:p>
    <w:p>
      <w:pPr>
        <w:pStyle w:val="ListBullet"/>
        <w:spacing w:before="0" w:after="40"/>
        <w:ind w:left="360"/>
      </w:pPr>
      <w:r/>
      <w:r>
        <w:rPr>
          <w:sz w:val="21"/>
        </w:rPr>
        <w:t>Implemented production-grade reliability features including multi-model failover, exponential-backoff retries, and content-based deduplication to support 24/7 system uptime.</w:t>
      </w:r>
    </w:p>
    <w:p>
      <w:pPr>
        <w:pStyle w:val="ListBullet"/>
        <w:spacing w:before="0" w:after="40"/>
        <w:ind w:left="360"/>
      </w:pPr>
      <w:r/>
      <w:r>
        <w:rPr>
          <w:sz w:val="21"/>
        </w:rPr>
        <w:t>Authored 121 automated unit tests using pytest to ensure code quality and system resilience throughout the deployment lifecycle.</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Developed a high-accuracy ML pipeline for wildfire detection (a proxy for operational monitoring in energy/utility settings) using DenseNet-based CNNs on 2,700+ high-resolution images, achieving 98.84% accuracy — a +16% improvement over baseline architectures.</w:t>
      </w:r>
    </w:p>
    <w:p>
      <w:pPr>
        <w:pStyle w:val="ListBullet"/>
        <w:spacing w:before="0" w:after="40"/>
        <w:ind w:left="360"/>
      </w:pPr>
      <w:r/>
      <w:r>
        <w:rPr>
          <w:sz w:val="21"/>
        </w:rPr>
        <w:t>Applied Multi-Scale Retinex preprocessing and data augmentation to address brightness variation and class imbalance, ensuring robust performance in varied operational settings.</w:t>
      </w:r>
    </w:p>
    <w:p>
      <w:pPr>
        <w:pStyle w:val="ListBullet"/>
        <w:spacing w:before="0" w:after="40"/>
        <w:ind w:left="360"/>
      </w:pPr>
      <w:r/>
      <w:r>
        <w:rPr>
          <w:sz w:val="21"/>
        </w:rPr>
        <w:t>Presented technical findings and model performance metrics to academic stakeholders, translating complex algorithmic results into actionable insights.</w:t>
      </w:r>
    </w:p>
    <w:p>
      <w:pPr>
        <w:pStyle w:val="ListBullet"/>
        <w:spacing w:before="0" w:after="40"/>
        <w:ind w:left="360"/>
      </w:pPr>
      <w:r/>
      <w:r>
        <w:rPr>
          <w:sz w:val="21"/>
        </w:rPr>
        <w:t>Executed rigorous model selection using GridSearchCV and cross-validation to refine predictive modelling approaches for real-world deployment.</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using DAX and data modelling to surface KPIs and trends, supporting data-driven decision-making for diverse stakeholders.</w:t>
      </w:r>
    </w:p>
    <w:p>
      <w:pPr>
        <w:pStyle w:val="ListBullet"/>
        <w:spacing w:before="0" w:after="40"/>
        <w:ind w:left="360"/>
      </w:pPr>
      <w:r/>
      <w:r>
        <w:rPr>
          <w:sz w:val="21"/>
        </w:rPr>
        <w:t>Delivered reproducible ML experiments using Scikit-learn, applying feature engineering and model selection best practices to refine analytical approaches for operational utility data.</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