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The scale of OQC’s recent Series C funding and the ambition to move quantum computing from theory to commercial reality is what draws me to this role. I am a Data Scientist with an MSc in Computer Science and a background in Electronics &amp; Instrumentation, uniquely positioned to bridge the gap between complex hardware measurement data and actionable engineering insights.</w:t>
      </w:r>
    </w:p>
    <w:p>
      <w:pPr>
        <w:spacing w:before="0" w:after="160" w:line="276" w:lineRule="auto"/>
      </w:pPr>
      <w:r>
        <w:rPr>
          <w:sz w:val="21"/>
        </w:rPr>
        <w:t>My technical approach is defined by rigorous predictive modelling and software engineering discipline. In my recent work, I built an agentic pipeline that processes multi-parameter datasets and maintains 98.84% accuracy in predictive tasks. I am deeply familiar with the full software development lifecycle, including CI/CD, automated testing, and Agile methodologies, ensuring that the analytical tools I build are not only accurate but production-ready and scalable. My experience with large-scale data management and scientific computing libraries like NumPy and SciPy allows me to tackle the high-dimensional datasets typical of quantum hardware environments.</w:t>
      </w:r>
    </w:p>
    <w:p>
      <w:pPr>
        <w:spacing w:before="0" w:after="160" w:line="276" w:lineRule="auto"/>
      </w:pPr>
      <w:r>
        <w:rPr>
          <w:sz w:val="21"/>
        </w:rPr>
        <w:t>Beyond the code, I have a strong foundation in the physical sciences, including thermodynamics and electromagnetic systems, which helps me understand the hardware-level challenges OQC engineers face daily. I have also taken the lead on technical workstreams, mentoring peers on model evaluation and documentation to ensure project success. I am confident that my ability to translate complex technical concepts into clear visualisations and reports will make me an effective collaborator within your multidisciplinary engineering teams.</w:t>
      </w:r>
    </w:p>
    <w:p>
      <w:pPr>
        <w:spacing w:before="0" w:after="160" w:line="276" w:lineRule="auto"/>
      </w:pPr>
      <w:r>
        <w:rPr>
          <w:sz w:val="21"/>
        </w:rPr>
        <w:t>I am excited about the possibility of contributing to the next generation of quantum hardware at OQC.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