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building production-grade LLM pipelines and scalable machine learning solutions. Expert in RAG architectures, vector databases, and prompt engineering, with a proven track record of deploying 24/7 AI applications on cloud infrastructure. Adept at translating complex data into actionable insights for healthcare and life sciences contexts, evidenced by a 98.84% accuracy rate in high-stakes classification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LLM API integration, RAG architectures, Vector databases, Prompt engineering, TensorFlow, Keras, Scikit-learn, CNNs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SQL, Power BI, Tableau, Pandas, NumPy, Data modelling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Spark, Hadoop, pytest, Data pipelines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RAG and vector search implementation  ·  Healthcare and life sciences data analysis  ·  Large-scale data processing (Spark/Hadoop)  ·  Production-grade LLM deployment  ·  End-to-end data pipeline design  ·  Statistical modeling and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to ensure production reliability for a 24/7 deployed AI application.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TensorFlow and Keras.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LLMs to score, rank, and auto-tailor resumes and cover letters.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maintainability and reliability for the deployed application.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AI application on an Oracle Cloud VM, featuring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visualized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large-scale data processing concepts (Spark/Hadoop) to optimize analytical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