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Science, specializing in building and deploying production-grade LLM-powered systems at scale. Expert in architecting agentic workflows, RAG systems, and multi-step reasoning pipelines using LangChain and FastAPI to drive measurable business impact. Proven track record of delivering high-accuracy classification systems and automated decision-making tools, achieving 98.84% accuracy in production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LangChain, LangGraph, RAG systems, FastAPI, MCP, TensorFlow, Keras, Scikit-learn, CNNs (DenseNet)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Vercel, AWS S3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multi-step reasoning, production deployment, pytest, web scraping, prompt engineering, multi-model failover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LangChain/LangGraph orchestration  ·  RAG system implementation  ·  MCP/FastAPI integration  ·  production-grade LLM pipelines  ·  high-growth B2B SaaS environments  ·  multi-step reasoning  ·  system observability  ·  automated workflows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gain over baseline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production uptime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agentic LLM pipeline using LangChain and FastAPI to automate complex B2B-style workflows, scraping ~50 job postings per run with 100% automated data extraction.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RAG system components to enhance context retrieval, ensuring AI-tailored outputs maintain high relevance for high-growth SaaS recruitment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multi-step reasoning, iterating outputs until achieving an 85% ATS match threshold, verified by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production-grade systems on Oracle Cloud, incorporating MCP-inspired orchestration patterns for reliable tool usage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AI into a responsive Next.js dashboard, providing real-time observability into automated decision-making processes and system latency.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production-ready classification system for wildfire detection using DenseNet-based CNNs, processing 2,700+ high-resolution images with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a +16% performance improvement over baseline architectures by implementing advanced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delivering a scalable solution for real-world environmental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system performance and classification metrics using Matplotlib and Seaborn to support data-driven decision-making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complex data modelling to surface KPIs, supporting business-critical decision-making for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deliver forecasting insights on large-scale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