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Science, specialising in developing reproducible, production-grade analytical solutions. Expert in Python, Azure, and machine learning, with a proven track record of delivering high-accuracy models and agentic pipelines that support evidence-based decision-making. Committed to applying responsible AI, data ethics, and governance frameworks to complex regulatory challenges. Delivered a 98.84% accuracy rate on wildfire detection models, outperforming baseline architectures by +16%.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Python, Azure, Pandas, NumPy, Power BI, Tableau, Advanced Excel</w:t>
      </w:r>
    </w:p>
    <w:p>
      <w:pPr>
        <w:spacing w:before="0" w:after="20"/>
      </w:pPr>
      <w:r>
        <w:rPr>
          <w:b/>
        </w:rPr>
        <w:t xml:space="preserve">Machine Learning: </w:t>
      </w:r>
      <w:r>
        <w:t>Statistical methods, Feature engineering, Model explainability, Scikit-learn, TensorFlow, Keras, CNNs</w:t>
      </w:r>
    </w:p>
    <w:p>
      <w:pPr>
        <w:spacing w:before="0" w:after="20"/>
      </w:pPr>
      <w:r>
        <w:rPr>
          <w:b/>
        </w:rPr>
        <w:t xml:space="preserve">Cloud &amp; DB: </w:t>
      </w:r>
      <w:r>
        <w:t>Azure, Oracle Cloud, Snowflake, AWS S3, SQL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Reproducible analysis, Data preparation, Quality assessment, Agile, pytest, Agentic pipelines</w:t>
      </w:r>
    </w:p>
    <w:p>
      <w:pPr>
        <w:spacing w:before="0" w:after="20"/>
      </w:pPr>
      <w:r>
        <w:rPr>
          <w:b/>
        </w:rPr>
        <w:t xml:space="preserve">Governance: </w:t>
      </w:r>
      <w:r>
        <w:t>Data ethics, Governance, Responsible AI, Privacy, Security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Regulatory environment domain knowledge  ·  Large-scale stakeholder management  ·  Reproducible analytical solutions  ·  Data ethics and governance  ·  Statistical methods and model explainability  ·  Agile delivery and user-centred design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detection, a +16% improvement over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with 121 automated unit tests for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to solve complex data quality challenges.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workflows for ~50 job postings per run to drive data-informed outcomes.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delivered a Python-based analytical pipeline that scrapes ~50 job postings per run, applying rigorous data preparation and feature engineering to rank opportunities.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performs automated quality assessment, iterating until outputs meet an 85% ATS match threshold to ensure reproducible, high-quality results.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governance, including rate-limiting and multi-model failover, ensuring the solution is maintainable and aligned with professional software standards.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pipeline logic, ensuring the solution is scalable and robust for long-term deployment.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on an Oracle Cloud VM, demonstrating practical experience with cloud-based data platforms and modern deployment workflows.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predictive modelling solution for early detection using DenseNet-based CNNs on 2,700+ high-resolution images, achieving 98.84% accuracy —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complex, inconsistent data by applying statistical methods to mitigate class imbalance and brightness variation, ensuring reliable model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GridSearchCV and cross-validation to validate model robustness, ensuring the approach was statistically sound and explainable to academic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metrics using Matplotlib and Seaborn to communicate technical findings and model limitations to non-specialist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trends, supporting data-driven decision-making for simulated business scenarios.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reproducible ML experiments with Scikit-learn, applying feature engineering and model selection best practices to ensure analytical outputs were robust and usable.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foundational knowledge of regulatory-style reporting by documenting data quality checks and assumptions throughout the analytical lifecycle.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