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Analyst role. My background in Computer Science, combined with hands-on experience in SQL, Python, and Power BI, has prepared me to bridge the gap between complex data engineering and actionable business strategy.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end-to-end data lifecycle. For instance, I built an automated pipeline that processes large datasets from multiple sources, ensuring high data integrity through rigorous cleaning and validation. I am well-versed in designing interactive dashboards that surface KPIs and trends, allowing stakeholders to make informed decisions. Furthermore, I have experience applying data governance standards and ETL concepts—including dbt-style transformation logic—to maintain high-quality, reproducible data workflows.</w:t>
      </w:r>
    </w:p>
    <w:p>
      <w:pPr>
        <w:spacing w:before="0" w:after="160" w:line="276" w:lineRule="auto"/>
      </w:pPr>
      <w:r>
        <w:rPr>
          <w:sz w:val="21"/>
        </w:rPr>
        <w:t>Beyond technical execution, I prioritize data storytelling. Whether I am presenting forensic insights from a Tableau dashboard or explaining the results of a predictive model, my goal is always to translate complex data points into clear, concise business insights. I am particularly drawn to this role because of your focus on cross-functional collaboration and the opportunity to drive growth through data-backed decision-making.</w:t>
      </w:r>
    </w:p>
    <w:p>
      <w:pPr>
        <w:spacing w:before="0" w:after="160" w:line="276" w:lineRule="auto"/>
      </w:pPr>
      <w:r>
        <w:rPr>
          <w:sz w:val="21"/>
        </w:rPr>
        <w:t>I am eager to bring my analytical mindset and technical toolkit to your team.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