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with an MSc in Computer Science and 2+ years of experience building end-to-end data and analytics products. Expert in SQL, Python, Power BI, and Tableau, with a proven track record of transforming complex datasets into actionable insights for stakeholders. Successfully engineered agentic AI pipelines and automated workflows that improved model performance by 16% and achieved an 85%+ ATS match threshold. Committed to driving business strategy through rigorous data modelling, statistical analysis, and the development of scalable, high-impact data assets.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SQL, Excel, Data modelling, Data visualisation, Data management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Data science, Statistical analysis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Snowflake, Oracle Cloud VM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Agentic AI, Prompt Engineering, pytest, Exploratory Data Analysis (EDA), Stakeholder engagement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modelling  ·  Data visualisation  ·  Stakeholder engagement  ·  Statistical analysis  ·  Data management  ·  Business strategy  ·  Data mining  ·  Reporting  ·  Data science  ·  Problem solving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ML-based detection systems using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vs baseline through architecture optimization.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85%+ ATS match threshold for automated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production-grade pipelines processing 50+ job postings per run to deliver actionable insights.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performing data mining and analysis to rank top 20 matches for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outputs, ensuring 85%+ ATS match threshold before final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actionable insights through a responsive Next.js + Tailwind CSS dashboard, ensuring data accessibility for end-users.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robust data management practices including rate-limiting, exponential-backoff retries, and content-based deduplication to ensure data quality.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to surface forensic insights and support business strategy.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advanced Excel techniques to classify complex datasets and draw business conclusions for stakeholders.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 to provide financial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Python and pandas for data manipulation and statistical analysis to drive business-focused chatbot performance.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how the software development team at Datacom approaches their work.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root causes of bugs, implemented fixes, and planned future improvements.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using DenseNet-based CNNs on 2,700+ high-resolution images, achieving 98.84% accuracy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performance visualisations using Matplotlib/Seaborn to stakeholders, translating technical ML results into clear business value.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to ensure long-term data asset utility.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