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building production-ready AI solutions for complex scientific and clinical datasets. Expert in Python, NLP, and Generative AI, with a proven track record of integrating LLMs into scalable pipelines for knowledge extraction and semantic search. Committed to delivering high-quality, evidence-grounded systems, evidenced by a 98.84% accuracy rate in ML model deployment and an 85%+ ATS match threshold for automated content generation.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NLP, Generative AI, PyTorch, TensorFlow, Scikit-learn, Deep Learning, Feature Engineering,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Knowledge Graphs, Ontologies, Taxonomies, Data Analysis, Power BI,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Production-ready Systems, Agentic AI, LLM API Integration,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Scientific Discovery  ·  Knowledge Extraction  ·  Semantic Search  ·  Entity Extraction  ·  Evidence-grounded Generation  ·  Scalable Data Pipelines  ·  Automated Retraining  ·  Cross-functional Collaboration  ·  Foundation in Knowledge Graphs, Ontologies, and Taxonomies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 and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consistently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processing 50+ job postings per run with automated unit testing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advanced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production-ready Python pipeline that scrapes 50+ job postings per run, integrating Google Gemini LLMs for intelligent content understanding and automated summarization.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evaluates and iterates on AI-generated content to ensure an 85%+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scalable data pipelines with production reliability features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maintainability within the production system.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and Tailwind CSS dashboard on Vercel, supported by a 24/7 Telegram bot hosted on an Oracle Cloud VM.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on complex datasets, creating an interactive Tableau dashboard to surface actionable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100% of provided forensic data points and draw business-critical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and feature engineering to provide evidence-grounded financial insights, mirroring real-world clinical/scientific data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web application and implemented production-quality fixes to improve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workflows to plan future improvements and ensure high-quality code delivery.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(TensorFlow/PyTorch/Keras)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and code clarity by using Generative AI tools for EDA, SQL query refinement, and automated documentation.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across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best practices in feature engineering and model selection to improve predictive performance by 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