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467F"/>
          <w:sz w:val="44"/>
        </w:rPr>
        <w:t>SOHAYB BASET</w:t>
      </w:r>
    </w:p>
    <w:p>
      <w:pPr>
        <w:jc w:val="center"/>
      </w:pPr>
      <w:r>
        <w:rPr>
          <w:rFonts w:ascii="Calibri" w:hAnsi="Calibri"/>
          <w:b w:val="0"/>
          <w:i/>
          <w:color w:val="44546A"/>
          <w:sz w:val="22"/>
        </w:rPr>
        <w:t>Chief Business Officer  |  Commercial Executive  |  Saudi Market Authority</w:t>
      </w:r>
    </w:p>
    <w:p>
      <w:pPr>
        <w:jc w:val="center"/>
      </w:pPr>
      <w:r>
        <w:rPr>
          <w:rFonts w:ascii="Calibri" w:hAnsi="Calibri"/>
          <w:b w:val="0"/>
          <w:i w:val="0"/>
          <w:color w:val="595959"/>
          <w:sz w:val="20"/>
        </w:rPr>
        <w:t>+966 591 692 425  ·  sohaybbaset@gmail.com  ·  linkedin.com/in/sohaybbaset  ·  Riyadh, Saudi Arabia</w:t>
      </w:r>
    </w:p>
    <w:p>
      <w:pPr>
        <w:spacing w:before="0" w:after="80"/>
        <w:pBdr>
          <w:bottom w:val="single" w:sz="12" w:space="1" w:color="1F4E79"/>
        </w:pBdr>
      </w:pP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00467F"/>
          <w:sz w:val="22"/>
        </w:rPr>
        <w:t>PROFESSIONAL SUMMARY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Results-driven commercial executive and venture builder with 13+ years of experience driving strategic growth, building high-value partnerships, and leading business development across GCC and international markets. Currently Vice President at Sahat Venture Studio (Riyadh), overseeing an 8-venture portfolio and managing alignment across founders, investors, and government entities. Former Chief Business Development Officer at the same organisation, where I built Sahat's Saudi soft-landing programme from scratch — supporting 35+ companies from 12 countries to enter and operate in the Saudi market. Co-founded and exited Egypt's first B2B pharmaceutical marketplace (Ph Store → Grinta). MBA in Strategic Management. A C-suite operator with a founder's instinct and a proven record of translating strategy into measurable commercial outcomes.</w:t>
      </w:r>
    </w:p>
    <w:p>
      <w:pPr>
        <w:spacing w:before="0" w:after="80"/>
        <w:pBdr>
          <w:bottom w:val="single" w:sz="12" w:space="1" w:color="1F4E79"/>
        </w:pBdr>
      </w:pP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00467F"/>
          <w:sz w:val="22"/>
        </w:rPr>
        <w:t>KEY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467F"/>
                <w:sz w:val="26"/>
              </w:rPr>
              <w:t>13+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44546A"/>
                <w:sz w:val="17"/>
              </w:rPr>
              <w:t>Years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44546A"/>
                <w:sz w:val="17"/>
              </w:rPr>
              <w:t>Experience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467F"/>
                <w:sz w:val="26"/>
              </w:rPr>
              <w:t>35+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44546A"/>
                <w:sz w:val="17"/>
              </w:rPr>
              <w:t>Companies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44546A"/>
                <w:sz w:val="17"/>
              </w:rPr>
              <w:t>into KSA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467F"/>
                <w:sz w:val="26"/>
              </w:rPr>
              <w:t>1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44546A"/>
                <w:sz w:val="17"/>
              </w:rPr>
              <w:t>Successful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44546A"/>
                <w:sz w:val="17"/>
              </w:rPr>
              <w:t>Exit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467F"/>
                <w:sz w:val="26"/>
              </w:rPr>
              <w:t>8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44546A"/>
                <w:sz w:val="17"/>
              </w:rPr>
              <w:t>Active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44546A"/>
                <w:sz w:val="17"/>
              </w:rPr>
              <w:t>Ventures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467F"/>
                <w:sz w:val="26"/>
              </w:rPr>
              <w:t>EGP 332M+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44546A"/>
                <w:sz w:val="17"/>
              </w:rPr>
              <w:t>Contract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44546A"/>
                <w:sz w:val="17"/>
              </w:rPr>
              <w:t>Value</w:t>
            </w:r>
          </w:p>
        </w:tc>
      </w:tr>
    </w:tbl>
    <w:p>
      <w:pPr>
        <w:spacing w:before="0" w:after="80"/>
        <w:pBdr>
          <w:bottom w:val="single" w:sz="12" w:space="1" w:color="1F4E79"/>
        </w:pBdr>
      </w:pP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00467F"/>
          <w:sz w:val="22"/>
        </w:rPr>
        <w:t>CORE COMPETENCIES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▸  Commercial Strategy &amp; Revenue Growth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▸  Stakeholder Management (Founders, Investors, Govt)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▸  Saudi Market Entry &amp; Regulatory Navigation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▸  Business Development &amp; Partnership Building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▸  KPI / OKR Design, Dashboards &amp; Reporting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▸  Venture Portfolio Management &amp; Execution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▸  Operating Model Design &amp; Implementation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▸  Cross-functional Team Leadership (5 direct, ~30 indirect)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▸  Regional Expansion: KSA, Egypt, Jordan, Qatar, UK</w:t>
            </w:r>
          </w:p>
        </w:tc>
      </w:tr>
    </w:tbl>
    <w:p>
      <w:pPr>
        <w:spacing w:before="0" w:after="80"/>
        <w:pBdr>
          <w:bottom w:val="single" w:sz="12" w:space="1" w:color="1F4E79"/>
        </w:pBdr>
      </w:pP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00467F"/>
          <w:sz w:val="22"/>
        </w:rPr>
        <w:t>PROFESSIONAL EXPERIENCE</w:t>
      </w:r>
    </w:p>
    <w:p>
      <w:r>
        <w:rPr>
          <w:rFonts w:ascii="Calibri" w:hAnsi="Calibri"/>
          <w:b/>
          <w:i w:val="0"/>
          <w:color w:val="00467F"/>
          <w:sz w:val="22"/>
        </w:rPr>
        <w:t>Vice President  |  Sahat Venture Studio</w:t>
      </w:r>
      <w:r>
        <w:rPr>
          <w:rFonts w:ascii="Calibri" w:hAnsi="Calibri"/>
          <w:b w:val="0"/>
          <w:i/>
          <w:color w:val="595959"/>
          <w:sz w:val="20"/>
        </w:rPr>
        <w:t xml:space="preserve">                                                                    Dec 2025 – Present</w:t>
      </w:r>
    </w:p>
    <w:p>
      <w:pPr>
        <w:spacing w:after="60"/>
      </w:pPr>
      <w:r>
        <w:rPr>
          <w:rFonts w:ascii="Calibri" w:hAnsi="Calibri"/>
          <w:b w:val="0"/>
          <w:i/>
          <w:color w:val="595959"/>
          <w:sz w:val="20"/>
        </w:rPr>
        <w:t>Riyadh, Saudi Arabia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Lead portfolio and venture-operations alignment across an 8-venture portfolio with 5 direct reports and ~30 indirect contributors.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Serve as the key commercial and operational link between studio owners and the executive team — translating strategic priorities into KPI/OKR dashboards and execution cadence.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Drive annual strategy sessions, portfolio performance reviews, and continue/stop/pivot resource-allocation decisions.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Manage stakeholder alignment across owners, executive leadership, technical teams, portfolio companies, entrepreneurs, investors, and government/semi-government entities.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Continue to support 35+ international companies with Saudi market entry, soft-landing, and growth advisory.</w:t>
      </w:r>
    </w:p>
    <w:p/>
    <w:p>
      <w:r>
        <w:rPr>
          <w:rFonts w:ascii="Calibri" w:hAnsi="Calibri"/>
          <w:b/>
          <w:i w:val="0"/>
          <w:color w:val="00467F"/>
          <w:sz w:val="22"/>
        </w:rPr>
        <w:t>Chief Business Development Officer  /  Venture Builder  |  Sahat Venture Studio</w:t>
      </w:r>
      <w:r>
        <w:rPr>
          <w:rFonts w:ascii="Calibri" w:hAnsi="Calibri"/>
          <w:b w:val="0"/>
          <w:i/>
          <w:color w:val="595959"/>
          <w:sz w:val="20"/>
        </w:rPr>
        <w:t xml:space="preserve">    Jun 2023 – Nov 2025</w:t>
      </w:r>
    </w:p>
    <w:p>
      <w:pPr>
        <w:spacing w:after="60"/>
      </w:pPr>
      <w:r>
        <w:rPr>
          <w:rFonts w:ascii="Calibri" w:hAnsi="Calibri"/>
          <w:b w:val="0"/>
          <w:i/>
          <w:color w:val="595959"/>
          <w:sz w:val="20"/>
        </w:rPr>
        <w:t>Riyadh, Saudi Arabia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Created and operationalised Sahat's Saudi soft-landing playbook: company-readiness review, MISA licensing guidance, entity setup, and market-entry advisory — deployed across 35+ companies from 12 countries.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Built and managed ecosystem and partnership relationships across KSA and international markets including Jordan, Qatar, London, and regional startup/innovation networks.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Led product and business scoping for multiple digital/platform initiatives, coordinating across business, operations, technical delivery, and external stakeholders.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Supported early structuring discussions for a venture investment vehicle, including roles, partner alignment, investor profile, and governance coordination.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Co-organised the Global Innovation Majlis (June 2024) — international demo day with 150+ attendees from 28 countries.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Established Sahat as an official Hult Prize partner in Saudi Arabia.</w:t>
      </w:r>
    </w:p>
    <w:p/>
    <w:p>
      <w:r>
        <w:rPr>
          <w:rFonts w:ascii="Calibri" w:hAnsi="Calibri"/>
          <w:b/>
          <w:i w:val="0"/>
          <w:color w:val="00467F"/>
          <w:sz w:val="22"/>
        </w:rPr>
        <w:t>Co-Founder &amp; Chief Business Officer  |  HOMEi  (PropTech)</w:t>
      </w:r>
      <w:r>
        <w:rPr>
          <w:rFonts w:ascii="Calibri" w:hAnsi="Calibri"/>
          <w:b w:val="0"/>
          <w:i/>
          <w:color w:val="595959"/>
          <w:sz w:val="20"/>
        </w:rPr>
        <w:t xml:space="preserve">                            May 2022 – Present</w:t>
      </w:r>
    </w:p>
    <w:p>
      <w:pPr>
        <w:spacing w:after="60"/>
      </w:pPr>
      <w:r>
        <w:rPr>
          <w:rFonts w:ascii="Calibri" w:hAnsi="Calibri"/>
          <w:b w:val="0"/>
          <w:i/>
          <w:color w:val="595959"/>
          <w:sz w:val="20"/>
        </w:rPr>
        <w:t>Egypt / Saudi Arabia  |  500 Global Seed Bootcamp Alumni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Co-founded a proptech venture making home ownership more accessible through technology-enabled real-estate journeys.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Led commercial strategy, business-model development, and KSA expansion planning.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Grew venture to approximately EGP 332M in total customer contract value.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Strengthened investor readiness, pitch development, and growth-planning through 500 Global Seed Bootcamp.</w:t>
      </w:r>
    </w:p>
    <w:p/>
    <w:p>
      <w:r>
        <w:rPr>
          <w:rFonts w:ascii="Calibri" w:hAnsi="Calibri"/>
          <w:b/>
          <w:i w:val="0"/>
          <w:color w:val="00467F"/>
          <w:sz w:val="22"/>
        </w:rPr>
        <w:t>Sales Director  |  Grinta  (B2B Pharmaceutical Marketplace)</w:t>
      </w:r>
      <w:r>
        <w:rPr>
          <w:rFonts w:ascii="Calibri" w:hAnsi="Calibri"/>
          <w:b w:val="0"/>
          <w:i/>
          <w:color w:val="595959"/>
          <w:sz w:val="20"/>
        </w:rPr>
        <w:t xml:space="preserve">                        Nov 2021 – Apr 2023</w:t>
      </w:r>
    </w:p>
    <w:p>
      <w:pPr>
        <w:spacing w:after="60"/>
      </w:pPr>
      <w:r>
        <w:rPr>
          <w:rFonts w:ascii="Calibri" w:hAnsi="Calibri"/>
          <w:b w:val="0"/>
          <w:i/>
          <w:color w:val="595959"/>
          <w:sz w:val="20"/>
        </w:rPr>
        <w:t>Egypt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Delivered 10x revenue growth in 2022 through strategic market planning, team expansion, and systematic customer-base development.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Managed a sales and telesales team of 70+ agents across multiple regions — full recruitment lifecycle, performance coaching, and monitoring.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Identified and developed three new market segments in the B2B pharmaceutical space, significantly expanding market share.</w:t>
      </w:r>
    </w:p>
    <w:p/>
    <w:p>
      <w:r>
        <w:rPr>
          <w:rFonts w:ascii="Calibri" w:hAnsi="Calibri"/>
          <w:b/>
          <w:i w:val="0"/>
          <w:color w:val="00467F"/>
          <w:sz w:val="22"/>
        </w:rPr>
        <w:t>Co-Founder &amp; Growth Head  |  Ph Store  (B2B Pharmaceutical Marketplace)  — Acquired by Grinta</w:t>
      </w:r>
      <w:r>
        <w:rPr>
          <w:rFonts w:ascii="Calibri" w:hAnsi="Calibri"/>
          <w:b w:val="0"/>
          <w:i/>
          <w:color w:val="595959"/>
          <w:sz w:val="20"/>
        </w:rPr>
        <w:t xml:space="preserve">   Jan 2018 – Oct 2021</w:t>
      </w:r>
    </w:p>
    <w:p>
      <w:pPr>
        <w:spacing w:after="60"/>
      </w:pPr>
      <w:r>
        <w:rPr>
          <w:rFonts w:ascii="Calibri" w:hAnsi="Calibri"/>
          <w:b w:val="0"/>
          <w:i/>
          <w:color w:val="595959"/>
          <w:sz w:val="20"/>
        </w:rPr>
        <w:t>Egypt  |  Successful Exit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Co-founded Egypt's first B2B pharmaceutical marketplace, building from idea to market with 5,000+ pharmacy partners.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Drove consistent 20% month-on-month revenue growth over ~24 months.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Led strategic partnerships with the Pharmacists Syndicate and multiple microfinance institutions.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Executed a successful acquisition by Grinta — managed full transition and business continuity.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Award winner: ASU Innovates Competition 2021 and Techne Summit 2021.</w:t>
      </w:r>
    </w:p>
    <w:p>
      <w:pPr>
        <w:spacing w:before="0" w:after="80"/>
        <w:pBdr>
          <w:bottom w:val="single" w:sz="12" w:space="1" w:color="1F4E79"/>
        </w:pBdr>
      </w:pP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00467F"/>
          <w:sz w:val="22"/>
        </w:rPr>
        <w:t>SELECT PROJECTS</w:t>
      </w:r>
    </w:p>
    <w:p>
      <w:pPr>
        <w:spacing w:before="60" w:after="20"/>
      </w:pPr>
      <w:r>
        <w:rPr>
          <w:rFonts w:ascii="Calibri" w:hAnsi="Calibri"/>
          <w:b/>
          <w:i w:val="0"/>
          <w:sz w:val="21"/>
        </w:rPr>
        <w:t xml:space="preserve">Saudi Market Entry &amp; Soft-Landing Programme  —  </w:t>
      </w:r>
      <w:r>
        <w:rPr>
          <w:rFonts w:ascii="Calibri" w:hAnsi="Calibri"/>
          <w:b w:val="0"/>
          <w:i w:val="0"/>
          <w:sz w:val="21"/>
        </w:rPr>
        <w:t>Built a structured, repeatable advisory journey for international startups entering Saudi Arabia — licensing readiness, entity setup, operational preparation, and growth direction. Deployed with 35+ companies from 12 countries; recognised by MISA as a supporting entity for entrepreneurial licensing.</w:t>
      </w:r>
    </w:p>
    <w:p>
      <w:pPr>
        <w:spacing w:before="60" w:after="20"/>
      </w:pPr>
      <w:r>
        <w:rPr>
          <w:rFonts w:ascii="Calibri" w:hAnsi="Calibri"/>
          <w:b/>
          <w:i w:val="0"/>
          <w:sz w:val="21"/>
        </w:rPr>
        <w:t xml:space="preserve">Global Innovation Majlis — International Demo Day  —  </w:t>
      </w:r>
      <w:r>
        <w:rPr>
          <w:rFonts w:ascii="Calibri" w:hAnsi="Calibri"/>
          <w:b w:val="0"/>
          <w:i w:val="0"/>
          <w:sz w:val="21"/>
        </w:rPr>
        <w:t>Co-organised and managed an international investment event featuring startup pitches and investor reverse-pitch sessions, attracting 150+ participants from 28 countries.</w:t>
      </w:r>
    </w:p>
    <w:p>
      <w:pPr>
        <w:spacing w:before="60" w:after="20"/>
      </w:pPr>
      <w:r>
        <w:rPr>
          <w:rFonts w:ascii="Calibri" w:hAnsi="Calibri"/>
          <w:b/>
          <w:i w:val="0"/>
          <w:sz w:val="21"/>
        </w:rPr>
        <w:t xml:space="preserve">Rayan — Water Supply Chain Platform (Hajj/Umrah)  —  </w:t>
      </w:r>
      <w:r>
        <w:rPr>
          <w:rFonts w:ascii="Calibri" w:hAnsi="Calibri"/>
          <w:b w:val="0"/>
          <w:i w:val="0"/>
          <w:sz w:val="21"/>
        </w:rPr>
        <w:t>Led initiative from concept to live deployment: stakeholder alignment, operating model design, pricing, mobile/web app scoping, heatmap analytics, and post-deployment reporting in a high-complexity, government-adjacent context.</w:t>
      </w:r>
    </w:p>
    <w:p>
      <w:pPr>
        <w:spacing w:before="60" w:after="20"/>
      </w:pPr>
      <w:r>
        <w:rPr>
          <w:rFonts w:ascii="Calibri" w:hAnsi="Calibri"/>
          <w:b/>
          <w:i w:val="0"/>
          <w:sz w:val="21"/>
        </w:rPr>
        <w:t xml:space="preserve">Tanafus — Non-profit Procurement Platform  —  </w:t>
      </w:r>
      <w:r>
        <w:rPr>
          <w:rFonts w:ascii="Calibri" w:hAnsi="Calibri"/>
          <w:b w:val="0"/>
          <w:i w:val="0"/>
          <w:sz w:val="21"/>
        </w:rPr>
        <w:t>Supported revenue-model development; platform traction includes SAR 50M+ in transactions to date.</w:t>
      </w:r>
    </w:p>
    <w:p>
      <w:pPr>
        <w:spacing w:before="0" w:after="80"/>
        <w:pBdr>
          <w:bottom w:val="single" w:sz="12" w:space="1" w:color="1F4E79"/>
        </w:pBdr>
      </w:pP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00467F"/>
          <w:sz w:val="22"/>
        </w:rPr>
        <w:t>EDUCATION &amp; EXECUTIVE DEVELOPMENT</w:t>
      </w:r>
    </w:p>
    <w:p>
      <w:pPr>
        <w:spacing w:before="40"/>
      </w:pPr>
      <w:r>
        <w:rPr>
          <w:rFonts w:ascii="Calibri" w:hAnsi="Calibri"/>
          <w:b/>
          <w:i w:val="0"/>
          <w:sz w:val="21"/>
        </w:rPr>
        <w:t xml:space="preserve">MBA — Strategic Management  </w:t>
      </w:r>
      <w:r>
        <w:rPr>
          <w:rFonts w:ascii="Calibri" w:hAnsi="Calibri"/>
          <w:b w:val="0"/>
          <w:i w:val="0"/>
          <w:sz w:val="21"/>
        </w:rPr>
        <w:t>Arab Academy for Science, Technology and Maritime Transport  |  2021 – 2024</w:t>
      </w:r>
    </w:p>
    <w:p>
      <w:pPr>
        <w:spacing w:before="40"/>
      </w:pPr>
      <w:r>
        <w:rPr>
          <w:rFonts w:ascii="Calibri" w:hAnsi="Calibri"/>
          <w:b/>
          <w:i w:val="0"/>
          <w:sz w:val="21"/>
        </w:rPr>
        <w:t xml:space="preserve">Bachelor of Pharmaceutical Science  </w:t>
      </w:r>
      <w:r>
        <w:rPr>
          <w:rFonts w:ascii="Calibri" w:hAnsi="Calibri"/>
          <w:b w:val="0"/>
          <w:i w:val="0"/>
          <w:sz w:val="21"/>
        </w:rPr>
        <w:t>Al-Azhar University, Cairo  |  2008 – 2013</w:t>
      </w:r>
    </w:p>
    <w:p>
      <w:pPr>
        <w:spacing w:before="80"/>
      </w:pPr>
      <w:r>
        <w:rPr>
          <w:rFonts w:ascii="Calibri" w:hAnsi="Calibri"/>
          <w:b/>
          <w:i w:val="0"/>
          <w:sz w:val="21"/>
        </w:rPr>
        <w:t xml:space="preserve">Executive Programmes:  </w:t>
      </w:r>
      <w:r>
        <w:rPr>
          <w:rFonts w:ascii="Calibri" w:hAnsi="Calibri"/>
          <w:b w:val="0"/>
          <w:i w:val="0"/>
          <w:sz w:val="21"/>
        </w:rPr>
        <w:t>500 Global Seed Bootcamp (Egypt Batch 2)  ·  McKinsey Forward Programme 2023  ·  MBSC IsDB Entrepreneurial Mindset  ·  University of Maryland — Entrepreneurship 2021</w:t>
      </w:r>
    </w:p>
    <w:p>
      <w:pPr>
        <w:spacing w:before="0" w:after="80"/>
        <w:pBdr>
          <w:bottom w:val="single" w:sz="12" w:space="1" w:color="1F4E79"/>
        </w:pBdr>
      </w:pP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00467F"/>
          <w:sz w:val="22"/>
        </w:rPr>
        <w:t>ECOSYSTEM, MENTORING &amp; ADVISORY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Hult Prize Judge / Mentor — structured feedback to university founders across KSA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SDGs Ambassador — National Institute for Governance and Sustainable Development (NIGSD), Jun 2022 – Present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Startup Mentor — MicroMentor Global Network (20+ entrepreneurs mentored)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1"/>
        </w:rPr>
        <w:t>Member — Saudi Innovation Club, Riyadh (Sep 2024 – Present)</w:t>
      </w:r>
    </w:p>
    <w:p>
      <w:pPr>
        <w:spacing w:before="0" w:after="80"/>
        <w:pBdr>
          <w:bottom w:val="single" w:sz="12" w:space="1" w:color="1F4E79"/>
        </w:pBdr>
      </w:pP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00467F"/>
          <w:sz w:val="22"/>
        </w:rPr>
        <w:t>LANGUAGES &amp; TOOLS</w:t>
      </w:r>
    </w:p>
    <w:p>
      <w:r>
        <w:rPr>
          <w:rFonts w:ascii="Calibri" w:hAnsi="Calibri"/>
          <w:b/>
          <w:i w:val="0"/>
          <w:sz w:val="21"/>
        </w:rPr>
        <w:t xml:space="preserve">Languages:  </w:t>
      </w:r>
      <w:r>
        <w:rPr>
          <w:rFonts w:ascii="Calibri" w:hAnsi="Calibri"/>
          <w:b w:val="0"/>
          <w:i w:val="0"/>
          <w:sz w:val="21"/>
        </w:rPr>
        <w:t>Arabic (Native)  ·  English (Professional Proficiency)</w:t>
      </w:r>
    </w:p>
    <w:p>
      <w:r>
        <w:rPr>
          <w:rFonts w:ascii="Calibri" w:hAnsi="Calibri"/>
          <w:b/>
          <w:i w:val="0"/>
          <w:sz w:val="21"/>
        </w:rPr>
        <w:t xml:space="preserve">Tools:  </w:t>
      </w:r>
      <w:r>
        <w:rPr>
          <w:rFonts w:ascii="Calibri" w:hAnsi="Calibri"/>
          <w:b w:val="0"/>
          <w:i w:val="0"/>
          <w:sz w:val="21"/>
        </w:rPr>
        <w:t>Lark · Google Workspace · Microsoft Office · Airtable · Etimad · CRM Systems · KPI/OKR Dashboards · Project Management Tools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