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66F4" w14:textId="31E0AA33" w:rsidR="00E40699" w:rsidRPr="00E40699" w:rsidRDefault="00E40699" w:rsidP="008B31CC">
      <w:pPr>
        <w:pBdr>
          <w:bottom w:val="single" w:sz="4" w:space="1" w:color="auto"/>
        </w:pBdr>
        <w:spacing w:after="0" w:line="240" w:lineRule="auto"/>
        <w:jc w:val="center"/>
        <w:rPr>
          <w:rFonts w:asciiTheme="majorHAnsi" w:eastAsia="Times New Roman" w:hAnsiTheme="majorHAnsi" w:cstheme="majorHAnsi"/>
          <w:b/>
          <w:bCs/>
          <w:kern w:val="36"/>
          <w:u w:val="single"/>
        </w:rPr>
      </w:pPr>
      <w:r w:rsidRPr="00B73D6C">
        <w:rPr>
          <w:rFonts w:asciiTheme="majorHAnsi" w:eastAsia="Times New Roman" w:hAnsiTheme="majorHAnsi" w:cstheme="majorHAnsi"/>
          <w:b/>
          <w:bCs/>
          <w:kern w:val="36"/>
        </w:rPr>
        <w:t>Global Finance Operations Accounts Payable Approval Authorization Limits Policy</w:t>
      </w:r>
    </w:p>
    <w:p w14:paraId="7F427986" w14:textId="129FBD09" w:rsidR="00E40699" w:rsidRPr="00E40699" w:rsidRDefault="00E40699" w:rsidP="00E40699">
      <w:pPr>
        <w:pStyle w:val="tree-node-step-prefix"/>
        <w:numPr>
          <w:ilvl w:val="0"/>
          <w:numId w:val="23"/>
        </w:numPr>
        <w:spacing w:line="300" w:lineRule="atLeast"/>
        <w:contextualSpacing/>
        <w:jc w:val="both"/>
        <w:rPr>
          <w:rFonts w:asciiTheme="majorHAnsi" w:hAnsiTheme="majorHAnsi" w:cstheme="majorHAnsi"/>
          <w:sz w:val="21"/>
          <w:szCs w:val="21"/>
        </w:rPr>
      </w:pPr>
      <w:r w:rsidRPr="00E40699">
        <w:rPr>
          <w:rStyle w:val="Strong"/>
          <w:rFonts w:asciiTheme="majorHAnsi" w:hAnsiTheme="majorHAnsi" w:cstheme="majorHAnsi"/>
          <w:sz w:val="21"/>
          <w:szCs w:val="21"/>
        </w:rPr>
        <w:t>Purpose</w:t>
      </w:r>
      <w:r w:rsidRPr="00E40699">
        <w:rPr>
          <w:rFonts w:asciiTheme="majorHAnsi" w:hAnsiTheme="majorHAnsi" w:cstheme="majorHAnsi"/>
          <w:sz w:val="21"/>
          <w:szCs w:val="21"/>
        </w:rPr>
        <w:t xml:space="preserve">: This policy governs the approval authorization limits for paybacks and invoice adjustments </w:t>
      </w:r>
      <w:r w:rsidR="00C14404">
        <w:rPr>
          <w:rFonts w:asciiTheme="majorHAnsi" w:hAnsiTheme="majorHAnsi" w:cstheme="majorHAnsi"/>
          <w:sz w:val="21"/>
          <w:szCs w:val="21"/>
        </w:rPr>
        <w:t>managed</w:t>
      </w:r>
      <w:r w:rsidRPr="00E40699">
        <w:rPr>
          <w:rFonts w:asciiTheme="majorHAnsi" w:hAnsiTheme="majorHAnsi" w:cstheme="majorHAnsi"/>
          <w:sz w:val="21"/>
          <w:szCs w:val="21"/>
        </w:rPr>
        <w:t xml:space="preserve"> and initiated by the Fin</w:t>
      </w:r>
      <w:r w:rsidR="002E0205">
        <w:rPr>
          <w:rFonts w:asciiTheme="majorHAnsi" w:hAnsiTheme="majorHAnsi" w:cstheme="majorHAnsi"/>
          <w:sz w:val="21"/>
          <w:szCs w:val="21"/>
        </w:rPr>
        <w:t xml:space="preserve">ance </w:t>
      </w:r>
      <w:r w:rsidRPr="00E40699">
        <w:rPr>
          <w:rFonts w:asciiTheme="majorHAnsi" w:hAnsiTheme="majorHAnsi" w:cstheme="majorHAnsi"/>
          <w:sz w:val="21"/>
          <w:szCs w:val="21"/>
        </w:rPr>
        <w:t>Op</w:t>
      </w:r>
      <w:r w:rsidR="002E0205">
        <w:rPr>
          <w:rFonts w:asciiTheme="majorHAnsi" w:hAnsiTheme="majorHAnsi" w:cstheme="majorHAnsi"/>
          <w:sz w:val="21"/>
          <w:szCs w:val="21"/>
        </w:rPr>
        <w:t>erations (FinOps)</w:t>
      </w:r>
      <w:r w:rsidRPr="00E40699">
        <w:rPr>
          <w:rFonts w:asciiTheme="majorHAnsi" w:hAnsiTheme="majorHAnsi" w:cstheme="majorHAnsi"/>
          <w:sz w:val="21"/>
          <w:szCs w:val="21"/>
        </w:rPr>
        <w:t xml:space="preserve"> Accounts Payable (AP) team to fully or partially reverse a previous deduction.  Additionally, this policy covers business owned processes resulting in AP invoice adjustments and paybacks executed through FinOps managed applications. </w:t>
      </w:r>
    </w:p>
    <w:p w14:paraId="343D168C" w14:textId="77777777" w:rsidR="00E40699" w:rsidRPr="00E40699" w:rsidRDefault="00E40699" w:rsidP="00E40699">
      <w:pPr>
        <w:pStyle w:val="tree-node-step-prefix"/>
        <w:spacing w:line="300" w:lineRule="atLeast"/>
        <w:ind w:left="360"/>
        <w:contextualSpacing/>
        <w:jc w:val="both"/>
        <w:rPr>
          <w:rFonts w:asciiTheme="majorHAnsi" w:hAnsiTheme="majorHAnsi" w:cstheme="majorHAnsi"/>
          <w:sz w:val="21"/>
          <w:szCs w:val="21"/>
        </w:rPr>
      </w:pPr>
    </w:p>
    <w:p w14:paraId="2696BEEB" w14:textId="23131C7D" w:rsidR="00E40699" w:rsidRPr="00E40699" w:rsidRDefault="00E40699" w:rsidP="00E40699">
      <w:pPr>
        <w:pStyle w:val="tree-node-step-prefix"/>
        <w:numPr>
          <w:ilvl w:val="0"/>
          <w:numId w:val="23"/>
        </w:numPr>
        <w:spacing w:line="300" w:lineRule="atLeast"/>
        <w:contextualSpacing/>
        <w:jc w:val="both"/>
        <w:rPr>
          <w:rFonts w:asciiTheme="majorHAnsi" w:hAnsiTheme="majorHAnsi" w:cstheme="majorHAnsi"/>
          <w:sz w:val="21"/>
          <w:szCs w:val="21"/>
        </w:rPr>
      </w:pPr>
      <w:r w:rsidRPr="00E40699">
        <w:rPr>
          <w:rStyle w:val="Strong"/>
          <w:rFonts w:asciiTheme="majorHAnsi" w:hAnsiTheme="majorHAnsi" w:cstheme="majorHAnsi"/>
          <w:sz w:val="21"/>
          <w:szCs w:val="21"/>
        </w:rPr>
        <w:t>Scope</w:t>
      </w:r>
      <w:r w:rsidRPr="00E40699">
        <w:rPr>
          <w:rFonts w:asciiTheme="majorHAnsi" w:hAnsiTheme="majorHAnsi" w:cstheme="majorHAnsi"/>
          <w:sz w:val="21"/>
          <w:szCs w:val="21"/>
        </w:rPr>
        <w:t xml:space="preserve">: This policy is applicable globally for all Amazon FinOps AP orgs and equivalent orgs in Amazon subsidiaries that use FinOps applications to maintain systematic approval workflows (for example, FinOps Central (FOC), Creature) for authorizing adjustments to FinOps managed paybacks and invoice adjustments. </w:t>
      </w:r>
    </w:p>
    <w:p w14:paraId="002710D8" w14:textId="77777777" w:rsidR="00E40699" w:rsidRPr="00E40699" w:rsidRDefault="00E40699" w:rsidP="00E40699">
      <w:pPr>
        <w:pStyle w:val="tree-node-step-prefix"/>
        <w:spacing w:line="300" w:lineRule="atLeast"/>
        <w:contextualSpacing/>
        <w:jc w:val="both"/>
        <w:rPr>
          <w:rFonts w:asciiTheme="majorHAnsi" w:hAnsiTheme="majorHAnsi" w:cstheme="majorHAnsi"/>
          <w:sz w:val="21"/>
          <w:szCs w:val="21"/>
        </w:rPr>
      </w:pPr>
    </w:p>
    <w:p w14:paraId="75BDEF47" w14:textId="1EDF06FE" w:rsidR="00E40699" w:rsidRPr="00FA2756" w:rsidRDefault="00E40699" w:rsidP="00494903">
      <w:pPr>
        <w:pStyle w:val="tree-node-step-prefix"/>
        <w:numPr>
          <w:ilvl w:val="0"/>
          <w:numId w:val="23"/>
        </w:numPr>
        <w:spacing w:before="0" w:beforeAutospacing="0" w:after="0" w:afterAutospacing="0"/>
        <w:contextualSpacing/>
        <w:jc w:val="both"/>
        <w:rPr>
          <w:rFonts w:asciiTheme="majorHAnsi" w:hAnsiTheme="majorHAnsi" w:cstheme="majorHAnsi"/>
          <w:sz w:val="21"/>
          <w:szCs w:val="21"/>
        </w:rPr>
      </w:pPr>
      <w:r w:rsidRPr="00FA2756">
        <w:rPr>
          <w:rStyle w:val="Strong"/>
          <w:rFonts w:asciiTheme="majorHAnsi" w:hAnsiTheme="majorHAnsi" w:cstheme="majorHAnsi"/>
          <w:sz w:val="21"/>
          <w:szCs w:val="21"/>
        </w:rPr>
        <w:t>Review Cadence</w:t>
      </w:r>
      <w:r w:rsidRPr="00FA2756">
        <w:rPr>
          <w:rFonts w:asciiTheme="majorHAnsi" w:hAnsiTheme="majorHAnsi" w:cstheme="majorHAnsi"/>
          <w:sz w:val="21"/>
          <w:szCs w:val="21"/>
        </w:rPr>
        <w:t xml:space="preserve">: </w:t>
      </w:r>
      <w:r w:rsidR="00FA2756" w:rsidRPr="00FA2756">
        <w:rPr>
          <w:rFonts w:asciiTheme="majorHAnsi" w:hAnsiTheme="majorHAnsi" w:cstheme="majorHAnsi"/>
          <w:sz w:val="21"/>
          <w:szCs w:val="21"/>
        </w:rPr>
        <w:t xml:space="preserve">This policy shall be reviewed, at minimum, on an annual basis by the Global FinOps Services AP Director.  Changes to the policy resulting in material differences require approval by the FinOps VP. Changes leading to approval thresholds inconsistent with the </w:t>
      </w:r>
      <w:hyperlink r:id="rId8" w:history="1">
        <w:r w:rsidR="00FA2756" w:rsidRPr="00FA2756">
          <w:rPr>
            <w:rStyle w:val="Hyperlink"/>
            <w:rFonts w:asciiTheme="majorHAnsi" w:hAnsiTheme="majorHAnsi" w:cstheme="majorHAnsi"/>
            <w:sz w:val="21"/>
            <w:szCs w:val="21"/>
          </w:rPr>
          <w:t>Spending and Transaction Policy</w:t>
        </w:r>
      </w:hyperlink>
      <w:r w:rsidR="00FA2756" w:rsidRPr="00FA2756">
        <w:rPr>
          <w:rFonts w:asciiTheme="majorHAnsi" w:hAnsiTheme="majorHAnsi" w:cstheme="majorHAnsi"/>
          <w:sz w:val="21"/>
          <w:szCs w:val="21"/>
        </w:rPr>
        <w:t xml:space="preserve"> require additional approval from the CFO and SVP &amp; General Counsel</w:t>
      </w:r>
      <w:r w:rsidR="00FA2756" w:rsidRPr="00FA2756">
        <w:rPr>
          <w:rFonts w:asciiTheme="majorHAnsi" w:hAnsiTheme="majorHAnsi" w:cstheme="majorHAnsi"/>
          <w:bCs/>
          <w:sz w:val="21"/>
          <w:szCs w:val="21"/>
        </w:rPr>
        <w:t>.</w:t>
      </w:r>
    </w:p>
    <w:p w14:paraId="12917B92" w14:textId="77777777" w:rsidR="00E40699" w:rsidRPr="00E40699" w:rsidRDefault="00E40699" w:rsidP="00E40699">
      <w:pPr>
        <w:pStyle w:val="tree-node-step-prefix"/>
        <w:spacing w:before="0" w:beforeAutospacing="0" w:after="0" w:afterAutospacing="0"/>
        <w:contextualSpacing/>
        <w:jc w:val="both"/>
        <w:rPr>
          <w:rFonts w:asciiTheme="majorHAnsi" w:hAnsiTheme="majorHAnsi" w:cstheme="majorHAnsi"/>
          <w:sz w:val="21"/>
          <w:szCs w:val="21"/>
        </w:rPr>
      </w:pPr>
    </w:p>
    <w:p w14:paraId="723E4CCE" w14:textId="77777777" w:rsidR="00E40699" w:rsidRPr="00E40699" w:rsidRDefault="00E40699" w:rsidP="005B42A6">
      <w:pPr>
        <w:pStyle w:val="tree-node-step-prefix"/>
        <w:numPr>
          <w:ilvl w:val="0"/>
          <w:numId w:val="1"/>
        </w:numPr>
        <w:spacing w:before="0" w:beforeAutospacing="0" w:after="0" w:afterAutospacing="0"/>
        <w:contextualSpacing/>
        <w:jc w:val="both"/>
        <w:rPr>
          <w:rFonts w:asciiTheme="majorHAnsi" w:hAnsiTheme="majorHAnsi" w:cstheme="majorHAnsi"/>
          <w:sz w:val="21"/>
          <w:szCs w:val="21"/>
        </w:rPr>
      </w:pPr>
      <w:r w:rsidRPr="00E40699">
        <w:rPr>
          <w:rStyle w:val="Strong"/>
          <w:rFonts w:asciiTheme="majorHAnsi" w:hAnsiTheme="majorHAnsi" w:cstheme="majorHAnsi"/>
          <w:sz w:val="21"/>
          <w:szCs w:val="21"/>
        </w:rPr>
        <w:t>International Currencies</w:t>
      </w:r>
      <w:r w:rsidRPr="00E40699">
        <w:rPr>
          <w:rFonts w:asciiTheme="majorHAnsi" w:hAnsiTheme="majorHAnsi" w:cstheme="majorHAnsi"/>
          <w:sz w:val="21"/>
          <w:szCs w:val="21"/>
        </w:rPr>
        <w:t xml:space="preserve">: Unless otherwise stated in dedicated standards or Standard Operating Procedures (SOPs), non-US currency conversion rates must be in line with the international currencies limits table as per the </w:t>
      </w:r>
      <w:hyperlink r:id="rId9" w:anchor="amz_section01" w:history="1">
        <w:r w:rsidRPr="00E40699">
          <w:rPr>
            <w:rStyle w:val="Hyperlink"/>
            <w:rFonts w:asciiTheme="majorHAnsi" w:hAnsiTheme="majorHAnsi" w:cstheme="majorHAnsi"/>
            <w:sz w:val="21"/>
            <w:szCs w:val="21"/>
          </w:rPr>
          <w:t>Spending &amp; Transaction Policy</w:t>
        </w:r>
      </w:hyperlink>
      <w:r w:rsidRPr="00E40699">
        <w:rPr>
          <w:rFonts w:asciiTheme="majorHAnsi" w:hAnsiTheme="majorHAnsi" w:cstheme="majorHAnsi"/>
          <w:sz w:val="21"/>
          <w:szCs w:val="21"/>
        </w:rPr>
        <w:t xml:space="preserve"> .</w:t>
      </w:r>
    </w:p>
    <w:p w14:paraId="5B156096" w14:textId="77777777" w:rsidR="00E40699" w:rsidRPr="00E40699" w:rsidRDefault="00E40699" w:rsidP="00E40699">
      <w:pPr>
        <w:pStyle w:val="tree-node-step-prefix"/>
        <w:spacing w:before="0" w:beforeAutospacing="0" w:after="0" w:afterAutospacing="0"/>
        <w:contextualSpacing/>
        <w:jc w:val="both"/>
        <w:rPr>
          <w:rFonts w:asciiTheme="majorHAnsi" w:hAnsiTheme="majorHAnsi" w:cstheme="majorHAnsi"/>
          <w:sz w:val="21"/>
          <w:szCs w:val="21"/>
        </w:rPr>
      </w:pPr>
    </w:p>
    <w:p w14:paraId="5E274E1B" w14:textId="77777777" w:rsidR="00E40699" w:rsidRPr="00E40699" w:rsidRDefault="00E40699" w:rsidP="00E40699">
      <w:pPr>
        <w:pStyle w:val="tree-node-step-prefix"/>
        <w:numPr>
          <w:ilvl w:val="0"/>
          <w:numId w:val="24"/>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b/>
          <w:sz w:val="21"/>
          <w:szCs w:val="21"/>
        </w:rPr>
        <w:t>Exceptions to the</w:t>
      </w:r>
      <w:r w:rsidRPr="00E40699">
        <w:rPr>
          <w:rFonts w:asciiTheme="majorHAnsi" w:hAnsiTheme="majorHAnsi" w:cstheme="majorHAnsi"/>
          <w:sz w:val="21"/>
          <w:szCs w:val="21"/>
        </w:rPr>
        <w:t xml:space="preserve"> </w:t>
      </w:r>
      <w:r w:rsidRPr="00E40699">
        <w:rPr>
          <w:rFonts w:asciiTheme="majorHAnsi" w:hAnsiTheme="majorHAnsi" w:cstheme="majorHAnsi"/>
          <w:b/>
          <w:sz w:val="21"/>
          <w:szCs w:val="21"/>
        </w:rPr>
        <w:t>Spending &amp; Transactions Policy (S&amp;TP):</w:t>
      </w:r>
      <w:r w:rsidRPr="00E40699">
        <w:rPr>
          <w:rFonts w:asciiTheme="majorHAnsi" w:hAnsiTheme="majorHAnsi" w:cstheme="majorHAnsi"/>
          <w:sz w:val="21"/>
          <w:szCs w:val="21"/>
        </w:rPr>
        <w:t xml:space="preserve">  This section defines concepts exempted from S&amp;TP requirements to seek Departmental (“Retail”) and Finance (“Retail Finance”) approvals when the following applies:</w:t>
      </w:r>
    </w:p>
    <w:p w14:paraId="24EC4611" w14:textId="77777777" w:rsidR="00E40699" w:rsidRPr="00E40699" w:rsidRDefault="00E40699" w:rsidP="00E40699">
      <w:pPr>
        <w:pStyle w:val="tree-node-step-prefix"/>
        <w:spacing w:before="0" w:beforeAutospacing="0" w:after="0" w:afterAutospacing="0"/>
        <w:ind w:left="360"/>
        <w:contextualSpacing/>
        <w:jc w:val="both"/>
        <w:rPr>
          <w:rFonts w:asciiTheme="majorHAnsi" w:hAnsiTheme="majorHAnsi" w:cstheme="majorHAnsi"/>
          <w:sz w:val="21"/>
          <w:szCs w:val="21"/>
        </w:rPr>
      </w:pPr>
    </w:p>
    <w:p w14:paraId="1748AF01" w14:textId="5258179F" w:rsidR="00E40699" w:rsidRPr="00E40699" w:rsidRDefault="00E40699" w:rsidP="00E40699">
      <w:pPr>
        <w:pStyle w:val="tree-node-step-prefix"/>
        <w:numPr>
          <w:ilvl w:val="1"/>
          <w:numId w:val="24"/>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b/>
          <w:sz w:val="21"/>
          <w:szCs w:val="21"/>
        </w:rPr>
        <w:t>By Amount:</w:t>
      </w:r>
      <w:r w:rsidRPr="00E40699">
        <w:rPr>
          <w:rFonts w:asciiTheme="majorHAnsi" w:hAnsiTheme="majorHAnsi" w:cstheme="majorHAnsi"/>
          <w:sz w:val="21"/>
          <w:szCs w:val="21"/>
        </w:rPr>
        <w:t xml:space="preserve">  FinOps can approve paybacks and invoice adjustment for </w:t>
      </w:r>
      <w:r w:rsidR="00C07E3B">
        <w:rPr>
          <w:rFonts w:asciiTheme="majorHAnsi" w:hAnsiTheme="majorHAnsi" w:cstheme="majorHAnsi"/>
          <w:sz w:val="21"/>
          <w:szCs w:val="21"/>
        </w:rPr>
        <w:t>amounts</w:t>
      </w:r>
      <w:r w:rsidRPr="00E40699">
        <w:rPr>
          <w:rFonts w:asciiTheme="majorHAnsi" w:hAnsiTheme="majorHAnsi" w:cstheme="majorHAnsi"/>
          <w:sz w:val="21"/>
          <w:szCs w:val="21"/>
        </w:rPr>
        <w:t xml:space="preserve"> defined up to and equal of $100,000 USD or the non-US local equivalent per Table 1 in section 7 below.  </w:t>
      </w:r>
    </w:p>
    <w:p w14:paraId="5A6E6F03" w14:textId="77777777" w:rsidR="00E40699" w:rsidRPr="00E40699" w:rsidRDefault="00E40699" w:rsidP="00E40699">
      <w:pPr>
        <w:pStyle w:val="tree-node-step-prefix"/>
        <w:numPr>
          <w:ilvl w:val="2"/>
          <w:numId w:val="24"/>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sz w:val="21"/>
          <w:szCs w:val="21"/>
        </w:rPr>
        <w:t xml:space="preserve">The amount is defined as per calculations specified by the Accounts Payable (AP) department relevant to each AP transaction type and executed through departmental Standard Operating Procedures (SOPs) approved at the FinOps AP Director level. </w:t>
      </w:r>
    </w:p>
    <w:p w14:paraId="59A5A207" w14:textId="77777777" w:rsidR="00E40699" w:rsidRPr="00E40699" w:rsidRDefault="00E40699" w:rsidP="00E40699">
      <w:pPr>
        <w:pStyle w:val="tree-node-step-prefix"/>
        <w:spacing w:before="0" w:beforeAutospacing="0" w:after="0" w:afterAutospacing="0"/>
        <w:ind w:left="1571"/>
        <w:contextualSpacing/>
        <w:jc w:val="both"/>
        <w:rPr>
          <w:rFonts w:asciiTheme="majorHAnsi" w:hAnsiTheme="majorHAnsi" w:cstheme="majorHAnsi"/>
          <w:sz w:val="21"/>
          <w:szCs w:val="21"/>
        </w:rPr>
      </w:pPr>
      <w:r w:rsidRPr="00E40699">
        <w:rPr>
          <w:rFonts w:asciiTheme="majorHAnsi" w:hAnsiTheme="majorHAnsi" w:cstheme="majorHAnsi"/>
          <w:sz w:val="21"/>
          <w:szCs w:val="21"/>
        </w:rPr>
        <w:t xml:space="preserve">   </w:t>
      </w:r>
    </w:p>
    <w:p w14:paraId="4245BB83" w14:textId="77777777" w:rsidR="00E40699" w:rsidRPr="00E40699" w:rsidRDefault="00E40699" w:rsidP="00E40699">
      <w:pPr>
        <w:pStyle w:val="tree-node-step-prefix"/>
        <w:numPr>
          <w:ilvl w:val="2"/>
          <w:numId w:val="24"/>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sz w:val="21"/>
          <w:szCs w:val="21"/>
        </w:rPr>
        <w:t xml:space="preserve">This includes final agreed amounts for </w:t>
      </w:r>
      <w:r w:rsidRPr="00E40699">
        <w:rPr>
          <w:rFonts w:asciiTheme="majorHAnsi" w:hAnsiTheme="majorHAnsi" w:cstheme="majorHAnsi"/>
          <w:b/>
          <w:sz w:val="21"/>
          <w:szCs w:val="21"/>
        </w:rPr>
        <w:t>Account Settlements</w:t>
      </w:r>
      <w:r w:rsidRPr="00E40699">
        <w:rPr>
          <w:rFonts w:asciiTheme="majorHAnsi" w:hAnsiTheme="majorHAnsi" w:cstheme="majorHAnsi"/>
          <w:sz w:val="21"/>
          <w:szCs w:val="21"/>
        </w:rPr>
        <w:t xml:space="preserve"> defined as the payment of outstanding balances for one or multiple FinOps owned or managed transaction types up to a given time period.  Settlements must include a mutual agreement with the Vendor that the payment made represents full and final closure of all transactions within the date range specified.</w:t>
      </w:r>
    </w:p>
    <w:p w14:paraId="083769AF" w14:textId="77777777" w:rsidR="00E40699" w:rsidRPr="00E40699" w:rsidRDefault="00E40699" w:rsidP="00E40699">
      <w:pPr>
        <w:pStyle w:val="tree-node-step-prefix"/>
        <w:spacing w:before="0" w:beforeAutospacing="0" w:after="0" w:afterAutospacing="0"/>
        <w:ind w:left="644"/>
        <w:contextualSpacing/>
        <w:jc w:val="both"/>
        <w:rPr>
          <w:rFonts w:asciiTheme="majorHAnsi" w:hAnsiTheme="majorHAnsi" w:cstheme="majorHAnsi"/>
          <w:sz w:val="21"/>
          <w:szCs w:val="21"/>
        </w:rPr>
      </w:pPr>
    </w:p>
    <w:p w14:paraId="50DE10ED" w14:textId="77777777" w:rsidR="00E40699" w:rsidRPr="00E40699" w:rsidRDefault="00E40699" w:rsidP="00E40699">
      <w:pPr>
        <w:pStyle w:val="ListParagraph"/>
        <w:numPr>
          <w:ilvl w:val="1"/>
          <w:numId w:val="24"/>
        </w:numPr>
        <w:spacing w:after="0"/>
        <w:jc w:val="both"/>
        <w:rPr>
          <w:rFonts w:asciiTheme="majorHAnsi" w:hAnsiTheme="majorHAnsi" w:cstheme="majorHAnsi"/>
          <w:sz w:val="21"/>
          <w:szCs w:val="21"/>
        </w:rPr>
      </w:pPr>
      <w:r w:rsidRPr="00E40699">
        <w:rPr>
          <w:rFonts w:asciiTheme="majorHAnsi" w:eastAsia="Times New Roman" w:hAnsiTheme="majorHAnsi" w:cstheme="majorHAnsi"/>
          <w:b/>
          <w:sz w:val="21"/>
          <w:szCs w:val="21"/>
        </w:rPr>
        <w:t xml:space="preserve">By Rationale:  </w:t>
      </w:r>
      <w:r w:rsidRPr="00E40699">
        <w:rPr>
          <w:rFonts w:asciiTheme="majorHAnsi" w:eastAsia="Times New Roman" w:hAnsiTheme="majorHAnsi" w:cstheme="majorHAnsi"/>
          <w:sz w:val="21"/>
          <w:szCs w:val="21"/>
        </w:rPr>
        <w:t xml:space="preserve">For </w:t>
      </w:r>
      <w:r w:rsidRPr="00E40699">
        <w:rPr>
          <w:rFonts w:asciiTheme="majorHAnsi" w:hAnsiTheme="majorHAnsi" w:cstheme="majorHAnsi"/>
          <w:sz w:val="21"/>
          <w:szCs w:val="21"/>
        </w:rPr>
        <w:t xml:space="preserve">FinOps </w:t>
      </w:r>
      <w:r w:rsidRPr="00E40699">
        <w:rPr>
          <w:rFonts w:asciiTheme="majorHAnsi" w:eastAsia="Times New Roman" w:hAnsiTheme="majorHAnsi" w:cstheme="majorHAnsi"/>
          <w:sz w:val="21"/>
          <w:szCs w:val="21"/>
        </w:rPr>
        <w:t xml:space="preserve">owned transactions, where evidence from the inventory or invoice level adjustment analysis clearly justifies that a </w:t>
      </w:r>
      <w:r w:rsidRPr="00E40699">
        <w:rPr>
          <w:rFonts w:asciiTheme="majorHAnsi" w:hAnsiTheme="majorHAnsi" w:cstheme="majorHAnsi"/>
          <w:sz w:val="21"/>
          <w:szCs w:val="21"/>
        </w:rPr>
        <w:t xml:space="preserve">FinOps </w:t>
      </w:r>
      <w:r w:rsidRPr="00E40699">
        <w:rPr>
          <w:rFonts w:asciiTheme="majorHAnsi" w:eastAsia="Times New Roman" w:hAnsiTheme="majorHAnsi" w:cstheme="majorHAnsi"/>
          <w:sz w:val="21"/>
          <w:szCs w:val="21"/>
        </w:rPr>
        <w:t xml:space="preserve">AP prior deduction requires full or partial reversal (repayment), no further approval is required from Retail or Retail Finance. </w:t>
      </w:r>
    </w:p>
    <w:p w14:paraId="723C3055" w14:textId="77777777" w:rsidR="00E40699" w:rsidRPr="00E40699" w:rsidRDefault="00E40699" w:rsidP="00E40699">
      <w:pPr>
        <w:pStyle w:val="ListParagraph"/>
        <w:numPr>
          <w:ilvl w:val="2"/>
          <w:numId w:val="24"/>
        </w:numPr>
        <w:spacing w:after="0"/>
        <w:jc w:val="both"/>
        <w:rPr>
          <w:rFonts w:asciiTheme="majorHAnsi" w:hAnsiTheme="majorHAnsi" w:cstheme="majorHAnsi"/>
          <w:sz w:val="21"/>
          <w:szCs w:val="21"/>
        </w:rPr>
      </w:pPr>
      <w:r w:rsidRPr="00E40699">
        <w:rPr>
          <w:rFonts w:asciiTheme="majorHAnsi" w:eastAsia="Times New Roman" w:hAnsiTheme="majorHAnsi" w:cstheme="majorHAnsi"/>
          <w:sz w:val="21"/>
          <w:szCs w:val="21"/>
        </w:rPr>
        <w:t>Examples include transactions resulting in zero P&amp;L impact, and cases of high confidence inventory status (</w:t>
      </w:r>
      <w:proofErr w:type="gramStart"/>
      <w:r w:rsidRPr="00E40699">
        <w:rPr>
          <w:rFonts w:asciiTheme="majorHAnsi" w:eastAsia="Times New Roman" w:hAnsiTheme="majorHAnsi" w:cstheme="majorHAnsi"/>
          <w:sz w:val="21"/>
          <w:szCs w:val="21"/>
        </w:rPr>
        <w:t>e.g.</w:t>
      </w:r>
      <w:proofErr w:type="gramEnd"/>
      <w:r w:rsidRPr="00E40699">
        <w:rPr>
          <w:rFonts w:asciiTheme="majorHAnsi" w:eastAsia="Times New Roman" w:hAnsiTheme="majorHAnsi" w:cstheme="majorHAnsi"/>
          <w:sz w:val="21"/>
          <w:szCs w:val="21"/>
        </w:rPr>
        <w:t xml:space="preserve"> Net Founds).  All use cases must be clearly defined and governed by a designated standard approved at the </w:t>
      </w:r>
      <w:r w:rsidRPr="00E40699">
        <w:rPr>
          <w:rFonts w:asciiTheme="majorHAnsi" w:hAnsiTheme="majorHAnsi" w:cstheme="majorHAnsi"/>
          <w:sz w:val="21"/>
          <w:szCs w:val="21"/>
        </w:rPr>
        <w:t xml:space="preserve">FinOps </w:t>
      </w:r>
      <w:r w:rsidRPr="00E40699">
        <w:rPr>
          <w:rFonts w:asciiTheme="majorHAnsi" w:eastAsia="Times New Roman" w:hAnsiTheme="majorHAnsi" w:cstheme="majorHAnsi"/>
          <w:sz w:val="21"/>
          <w:szCs w:val="21"/>
        </w:rPr>
        <w:t xml:space="preserve">AP Director level and reviewed annually at minimum.  </w:t>
      </w:r>
    </w:p>
    <w:p w14:paraId="0A171DB9" w14:textId="77777777" w:rsidR="00E40699" w:rsidRPr="00E40699" w:rsidRDefault="00E40699" w:rsidP="00E40699">
      <w:pPr>
        <w:pStyle w:val="tree-node-step-prefix"/>
        <w:spacing w:before="0" w:beforeAutospacing="0" w:after="0" w:afterAutospacing="0"/>
        <w:ind w:left="360"/>
        <w:contextualSpacing/>
        <w:jc w:val="both"/>
        <w:rPr>
          <w:rFonts w:asciiTheme="majorHAnsi" w:hAnsiTheme="majorHAnsi" w:cstheme="majorHAnsi"/>
          <w:sz w:val="21"/>
          <w:szCs w:val="21"/>
        </w:rPr>
      </w:pPr>
    </w:p>
    <w:p w14:paraId="33DC0AF7" w14:textId="77777777" w:rsidR="00E40699" w:rsidRPr="00E40699" w:rsidRDefault="00E40699" w:rsidP="00E40699">
      <w:pPr>
        <w:pStyle w:val="tree-node-step-prefix"/>
        <w:numPr>
          <w:ilvl w:val="0"/>
          <w:numId w:val="25"/>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b/>
          <w:sz w:val="21"/>
          <w:szCs w:val="21"/>
        </w:rPr>
        <w:t xml:space="preserve">Operational controls:  </w:t>
      </w:r>
    </w:p>
    <w:p w14:paraId="1B9D6785" w14:textId="77777777" w:rsidR="00E40699" w:rsidRPr="00E40699" w:rsidRDefault="00E40699" w:rsidP="00E40699">
      <w:pPr>
        <w:pStyle w:val="tree-node-step-prefix"/>
        <w:numPr>
          <w:ilvl w:val="1"/>
          <w:numId w:val="25"/>
        </w:numPr>
        <w:spacing w:before="0" w:beforeAutospacing="0" w:after="0" w:afterAutospacing="0"/>
        <w:contextualSpacing/>
        <w:jc w:val="both"/>
        <w:rPr>
          <w:rStyle w:val="Strong"/>
          <w:rFonts w:asciiTheme="majorHAnsi" w:hAnsiTheme="majorHAnsi" w:cstheme="majorHAnsi"/>
          <w:b w:val="0"/>
          <w:bCs w:val="0"/>
          <w:sz w:val="21"/>
          <w:szCs w:val="21"/>
        </w:rPr>
      </w:pPr>
      <w:r w:rsidRPr="00E40699">
        <w:rPr>
          <w:rFonts w:asciiTheme="majorHAnsi" w:hAnsiTheme="majorHAnsi" w:cstheme="majorHAnsi"/>
          <w:sz w:val="21"/>
          <w:szCs w:val="21"/>
        </w:rPr>
        <w:t xml:space="preserve">Supporting evidence is required in all cases, which clearly justifies executing the </w:t>
      </w:r>
      <w:r w:rsidRPr="00E40699">
        <w:rPr>
          <w:rStyle w:val="Strong"/>
          <w:rFonts w:asciiTheme="majorHAnsi" w:hAnsiTheme="majorHAnsi" w:cstheme="majorHAnsi"/>
          <w:b w:val="0"/>
          <w:bCs w:val="0"/>
          <w:sz w:val="21"/>
          <w:szCs w:val="21"/>
        </w:rPr>
        <w:t xml:space="preserve">decision per departmental Standard Operating Procedures (SOP) or dedicated standards approved at the FinOps AP Director level. </w:t>
      </w:r>
    </w:p>
    <w:p w14:paraId="00991F3B" w14:textId="77777777" w:rsidR="00E40699" w:rsidRPr="00E40699" w:rsidRDefault="00E40699" w:rsidP="00E40699">
      <w:pPr>
        <w:pStyle w:val="tree-node-step-prefix"/>
        <w:numPr>
          <w:ilvl w:val="1"/>
          <w:numId w:val="25"/>
        </w:numPr>
        <w:spacing w:before="0" w:beforeAutospacing="0" w:after="0" w:afterAutospacing="0"/>
        <w:contextualSpacing/>
        <w:jc w:val="both"/>
        <w:rPr>
          <w:rFonts w:asciiTheme="majorHAnsi" w:hAnsiTheme="majorHAnsi" w:cstheme="majorHAnsi"/>
          <w:sz w:val="21"/>
          <w:szCs w:val="21"/>
        </w:rPr>
      </w:pPr>
      <w:r w:rsidRPr="00E40699">
        <w:rPr>
          <w:rStyle w:val="Strong"/>
          <w:rFonts w:asciiTheme="majorHAnsi" w:hAnsiTheme="majorHAnsi" w:cstheme="majorHAnsi"/>
          <w:b w:val="0"/>
          <w:bCs w:val="0"/>
          <w:sz w:val="21"/>
          <w:szCs w:val="21"/>
        </w:rPr>
        <w:t xml:space="preserve">Supporting evidence </w:t>
      </w:r>
      <w:r w:rsidRPr="00E40699">
        <w:rPr>
          <w:rFonts w:asciiTheme="majorHAnsi" w:hAnsiTheme="majorHAnsi" w:cstheme="majorHAnsi"/>
          <w:sz w:val="21"/>
          <w:szCs w:val="21"/>
        </w:rPr>
        <w:t>must be documented and made available electronically for audits executed by the FinOps AP Leadership team (L6 and above) and the FinOps Quality Assurance team with review results presented annually to FinOps AP Director Level at a minimum.</w:t>
      </w:r>
    </w:p>
    <w:p w14:paraId="0D4FB99B" w14:textId="77777777" w:rsidR="00E40699" w:rsidRPr="00E40699" w:rsidRDefault="00E40699" w:rsidP="00E40699">
      <w:pPr>
        <w:pStyle w:val="NormalWeb"/>
        <w:numPr>
          <w:ilvl w:val="1"/>
          <w:numId w:val="25"/>
        </w:numPr>
        <w:spacing w:before="0" w:beforeAutospacing="0" w:after="0" w:afterAutospacing="0"/>
        <w:contextualSpacing/>
        <w:jc w:val="both"/>
        <w:rPr>
          <w:rStyle w:val="Strong"/>
          <w:rFonts w:asciiTheme="majorHAnsi" w:hAnsiTheme="majorHAnsi" w:cstheme="majorHAnsi"/>
          <w:b w:val="0"/>
          <w:bCs w:val="0"/>
          <w:sz w:val="21"/>
          <w:szCs w:val="21"/>
        </w:rPr>
      </w:pPr>
      <w:r w:rsidRPr="00E40699">
        <w:rPr>
          <w:rStyle w:val="Strong"/>
          <w:rFonts w:asciiTheme="majorHAnsi" w:hAnsiTheme="majorHAnsi" w:cstheme="majorHAnsi"/>
          <w:b w:val="0"/>
          <w:bCs w:val="0"/>
          <w:sz w:val="21"/>
          <w:szCs w:val="21"/>
        </w:rPr>
        <w:t>Enforcement of stricter approval limits for applicable use cases (</w:t>
      </w:r>
      <w:proofErr w:type="gramStart"/>
      <w:r w:rsidRPr="00E40699">
        <w:rPr>
          <w:rStyle w:val="Strong"/>
          <w:rFonts w:asciiTheme="majorHAnsi" w:hAnsiTheme="majorHAnsi" w:cstheme="majorHAnsi"/>
          <w:b w:val="0"/>
          <w:bCs w:val="0"/>
          <w:sz w:val="21"/>
          <w:szCs w:val="21"/>
        </w:rPr>
        <w:t>e.g.</w:t>
      </w:r>
      <w:proofErr w:type="gramEnd"/>
      <w:r w:rsidRPr="00E40699">
        <w:rPr>
          <w:rStyle w:val="Strong"/>
          <w:rFonts w:asciiTheme="majorHAnsi" w:hAnsiTheme="majorHAnsi" w:cstheme="majorHAnsi"/>
          <w:b w:val="0"/>
          <w:bCs w:val="0"/>
          <w:sz w:val="21"/>
          <w:szCs w:val="21"/>
        </w:rPr>
        <w:t xml:space="preserve"> low tolerance currency conversions through China, India, and Brazil or recent business / geographical launches, e.g. Australia) is at the discretion of the </w:t>
      </w:r>
      <w:r w:rsidRPr="00E40699">
        <w:rPr>
          <w:rFonts w:asciiTheme="majorHAnsi" w:hAnsiTheme="majorHAnsi" w:cstheme="majorHAnsi"/>
          <w:sz w:val="21"/>
          <w:szCs w:val="21"/>
        </w:rPr>
        <w:t xml:space="preserve">FinOps </w:t>
      </w:r>
      <w:r w:rsidRPr="00E40699">
        <w:rPr>
          <w:rStyle w:val="Strong"/>
          <w:rFonts w:asciiTheme="majorHAnsi" w:hAnsiTheme="majorHAnsi" w:cstheme="majorHAnsi"/>
          <w:b w:val="0"/>
          <w:bCs w:val="0"/>
          <w:sz w:val="21"/>
          <w:szCs w:val="21"/>
        </w:rPr>
        <w:t xml:space="preserve">AP Director and executed through applicable </w:t>
      </w:r>
      <w:r w:rsidRPr="00E40699">
        <w:rPr>
          <w:rFonts w:asciiTheme="majorHAnsi" w:hAnsiTheme="majorHAnsi" w:cstheme="majorHAnsi"/>
          <w:sz w:val="21"/>
          <w:szCs w:val="21"/>
        </w:rPr>
        <w:t xml:space="preserve">FinOps </w:t>
      </w:r>
      <w:r w:rsidRPr="00E40699">
        <w:rPr>
          <w:rStyle w:val="Strong"/>
          <w:rFonts w:asciiTheme="majorHAnsi" w:hAnsiTheme="majorHAnsi" w:cstheme="majorHAnsi"/>
          <w:b w:val="0"/>
          <w:bCs w:val="0"/>
          <w:sz w:val="21"/>
          <w:szCs w:val="21"/>
        </w:rPr>
        <w:t>SOPs.</w:t>
      </w:r>
    </w:p>
    <w:p w14:paraId="4690385D" w14:textId="77777777" w:rsidR="00E40699" w:rsidRPr="00E40699" w:rsidRDefault="00E40699" w:rsidP="00E40699">
      <w:pPr>
        <w:pStyle w:val="NormalWeb"/>
        <w:numPr>
          <w:ilvl w:val="1"/>
          <w:numId w:val="25"/>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sz w:val="21"/>
          <w:szCs w:val="21"/>
        </w:rPr>
        <w:lastRenderedPageBreak/>
        <w:t>For Account Settlements, verification that Post Audit Recovery Firm(s) have completed their audit for the defined time period is required to ensure all funds due are considered.</w:t>
      </w:r>
    </w:p>
    <w:p w14:paraId="25CF30F3" w14:textId="77777777" w:rsidR="00E40699" w:rsidRPr="00E40699" w:rsidRDefault="00E40699" w:rsidP="00E40699">
      <w:pPr>
        <w:pStyle w:val="NormalWeb"/>
        <w:spacing w:before="0" w:beforeAutospacing="0" w:after="0" w:afterAutospacing="0"/>
        <w:ind w:left="792"/>
        <w:contextualSpacing/>
        <w:jc w:val="both"/>
        <w:rPr>
          <w:rFonts w:asciiTheme="majorHAnsi" w:hAnsiTheme="majorHAnsi" w:cstheme="majorHAnsi"/>
          <w:sz w:val="21"/>
          <w:szCs w:val="21"/>
        </w:rPr>
      </w:pPr>
    </w:p>
    <w:p w14:paraId="18959E51" w14:textId="77777777" w:rsidR="00E40699" w:rsidRPr="00E40699" w:rsidRDefault="00E40699" w:rsidP="00E40699">
      <w:pPr>
        <w:pStyle w:val="ListParagraph"/>
        <w:numPr>
          <w:ilvl w:val="0"/>
          <w:numId w:val="25"/>
        </w:numPr>
        <w:spacing w:after="0"/>
        <w:jc w:val="both"/>
        <w:rPr>
          <w:rStyle w:val="Strong"/>
          <w:rFonts w:asciiTheme="majorHAnsi" w:hAnsiTheme="majorHAnsi" w:cstheme="majorHAnsi"/>
          <w:b w:val="0"/>
          <w:bCs w:val="0"/>
          <w:sz w:val="21"/>
          <w:szCs w:val="21"/>
        </w:rPr>
      </w:pPr>
      <w:r w:rsidRPr="00E40699">
        <w:rPr>
          <w:rStyle w:val="Strong"/>
          <w:rFonts w:asciiTheme="majorHAnsi" w:hAnsiTheme="majorHAnsi" w:cstheme="majorHAnsi"/>
          <w:sz w:val="21"/>
          <w:szCs w:val="21"/>
        </w:rPr>
        <w:t>Review and Approval Authorization levels for all transactions defined in this policy</w:t>
      </w:r>
      <w:r w:rsidRPr="00E40699">
        <w:rPr>
          <w:rStyle w:val="Strong"/>
          <w:rFonts w:asciiTheme="majorHAnsi" w:hAnsiTheme="majorHAnsi" w:cstheme="majorHAnsi"/>
          <w:b w:val="0"/>
          <w:sz w:val="21"/>
          <w:szCs w:val="21"/>
        </w:rPr>
        <w:t xml:space="preserve">:  Retail and Retail Finance Levels in this policy refer to Departmental (“Retail”) and Finance (“Retail Finance) approval definitions in the </w:t>
      </w:r>
      <w:hyperlink r:id="rId10" w:anchor="amz_section01" w:history="1">
        <w:r w:rsidRPr="00E40699">
          <w:rPr>
            <w:rStyle w:val="Hyperlink"/>
            <w:rFonts w:asciiTheme="majorHAnsi" w:hAnsiTheme="majorHAnsi" w:cstheme="majorHAnsi"/>
            <w:sz w:val="21"/>
            <w:szCs w:val="21"/>
          </w:rPr>
          <w:t>Spending &amp; Transaction Policy</w:t>
        </w:r>
      </w:hyperlink>
      <w:r w:rsidRPr="00E40699">
        <w:rPr>
          <w:rStyle w:val="Strong"/>
          <w:rFonts w:asciiTheme="majorHAnsi" w:hAnsiTheme="majorHAnsi" w:cstheme="majorHAnsi"/>
          <w:b w:val="0"/>
          <w:sz w:val="21"/>
          <w:szCs w:val="21"/>
        </w:rPr>
        <w:t xml:space="preserve">. FinOps authorization Levels refer to approvers within the orgs defined to be in scope per section 2 in this policy and levels as specified, or per Departmental approver levels when defaulted to the </w:t>
      </w:r>
      <w:hyperlink r:id="rId11" w:anchor="amz_section01" w:history="1">
        <w:r w:rsidRPr="00E40699">
          <w:rPr>
            <w:rStyle w:val="Hyperlink"/>
            <w:rFonts w:asciiTheme="majorHAnsi" w:hAnsiTheme="majorHAnsi" w:cstheme="majorHAnsi"/>
            <w:sz w:val="21"/>
            <w:szCs w:val="21"/>
          </w:rPr>
          <w:t>Spending &amp; Transaction Policy</w:t>
        </w:r>
      </w:hyperlink>
      <w:r w:rsidRPr="00E40699">
        <w:rPr>
          <w:rStyle w:val="Hyperlink"/>
          <w:rFonts w:asciiTheme="majorHAnsi" w:hAnsiTheme="majorHAnsi" w:cstheme="majorHAnsi"/>
          <w:sz w:val="21"/>
          <w:szCs w:val="21"/>
        </w:rPr>
        <w:t>.</w:t>
      </w:r>
      <w:r w:rsidRPr="00E40699">
        <w:rPr>
          <w:rStyle w:val="Strong"/>
          <w:rFonts w:asciiTheme="majorHAnsi" w:hAnsiTheme="majorHAnsi" w:cstheme="majorHAnsi"/>
          <w:b w:val="0"/>
          <w:sz w:val="21"/>
          <w:szCs w:val="21"/>
        </w:rPr>
        <w:t xml:space="preserve"> </w:t>
      </w:r>
    </w:p>
    <w:p w14:paraId="3EE73A34" w14:textId="77777777" w:rsidR="00E40699" w:rsidRPr="00E40699" w:rsidRDefault="00E40699" w:rsidP="00E40699">
      <w:pPr>
        <w:pStyle w:val="ListParagraph"/>
        <w:spacing w:after="0"/>
        <w:ind w:left="360"/>
        <w:jc w:val="both"/>
        <w:rPr>
          <w:rStyle w:val="Strong"/>
          <w:rFonts w:asciiTheme="majorHAnsi" w:hAnsiTheme="majorHAnsi" w:cstheme="majorHAnsi"/>
          <w:b w:val="0"/>
          <w:bCs w:val="0"/>
          <w:sz w:val="21"/>
          <w:szCs w:val="21"/>
        </w:rPr>
      </w:pPr>
    </w:p>
    <w:p w14:paraId="47B0C03F" w14:textId="7B94F284" w:rsidR="00E40699" w:rsidRPr="00E40699" w:rsidRDefault="00E40699" w:rsidP="00E40699">
      <w:pPr>
        <w:pStyle w:val="tree-node-step-prefix"/>
        <w:numPr>
          <w:ilvl w:val="1"/>
          <w:numId w:val="25"/>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sz w:val="21"/>
          <w:szCs w:val="21"/>
        </w:rPr>
        <w:t xml:space="preserve">Table 1 provides the required approval authorization limits to execute payment for all FinOps </w:t>
      </w:r>
      <w:r w:rsidR="00EC65B3">
        <w:rPr>
          <w:rFonts w:asciiTheme="majorHAnsi" w:hAnsiTheme="majorHAnsi" w:cstheme="majorHAnsi"/>
          <w:sz w:val="21"/>
          <w:szCs w:val="21"/>
        </w:rPr>
        <w:t>managed</w:t>
      </w:r>
      <w:r w:rsidRPr="00E40699">
        <w:rPr>
          <w:rFonts w:asciiTheme="majorHAnsi" w:hAnsiTheme="majorHAnsi" w:cstheme="majorHAnsi"/>
          <w:sz w:val="21"/>
          <w:szCs w:val="21"/>
        </w:rPr>
        <w:t xml:space="preserve"> AP invoice adjustments and paybacks, including Account Settlements as defined in section </w:t>
      </w:r>
      <w:r w:rsidR="00591E9A">
        <w:rPr>
          <w:rFonts w:asciiTheme="majorHAnsi" w:hAnsiTheme="majorHAnsi" w:cstheme="majorHAnsi"/>
          <w:sz w:val="21"/>
          <w:szCs w:val="21"/>
        </w:rPr>
        <w:t>5</w:t>
      </w:r>
      <w:r w:rsidRPr="00E40699">
        <w:rPr>
          <w:rFonts w:asciiTheme="majorHAnsi" w:hAnsiTheme="majorHAnsi" w:cstheme="majorHAnsi"/>
          <w:sz w:val="21"/>
          <w:szCs w:val="21"/>
        </w:rPr>
        <w:t>.1.2</w:t>
      </w:r>
      <w:r w:rsidR="00D91CCC">
        <w:rPr>
          <w:rFonts w:asciiTheme="majorHAnsi" w:hAnsiTheme="majorHAnsi" w:cstheme="majorHAnsi"/>
          <w:sz w:val="21"/>
          <w:szCs w:val="21"/>
        </w:rPr>
        <w:t xml:space="preserve"> and Internal AP adjustments</w:t>
      </w:r>
      <w:r w:rsidRPr="00E40699">
        <w:rPr>
          <w:rFonts w:asciiTheme="majorHAnsi" w:hAnsiTheme="majorHAnsi" w:cstheme="majorHAnsi"/>
          <w:sz w:val="21"/>
          <w:szCs w:val="21"/>
        </w:rPr>
        <w:t xml:space="preserve">.  This includes reversals of Purchase Quantity Variance (PQV) and Quick Pay Discount (QPD) deductions (partial or full). A Purchase Quantity Variance (PQV) occurs when Amazon does not have a record of receipt for the particular product invoiced by the vendor and payment is deducted accordingly. A </w:t>
      </w:r>
      <w:proofErr w:type="spellStart"/>
      <w:r w:rsidRPr="00E40699">
        <w:rPr>
          <w:rFonts w:asciiTheme="majorHAnsi" w:hAnsiTheme="majorHAnsi" w:cstheme="majorHAnsi"/>
          <w:sz w:val="21"/>
          <w:szCs w:val="21"/>
        </w:rPr>
        <w:t>Quickpay</w:t>
      </w:r>
      <w:proofErr w:type="spellEnd"/>
      <w:r w:rsidRPr="00E40699">
        <w:rPr>
          <w:rFonts w:asciiTheme="majorHAnsi" w:hAnsiTheme="majorHAnsi" w:cstheme="majorHAnsi"/>
          <w:sz w:val="21"/>
          <w:szCs w:val="21"/>
        </w:rPr>
        <w:t xml:space="preserve"> Discount is when a vendor offers Amazon a conditional discount on the invoice amount owed, if full payment for the invoice is received by the vendor at a date earlier than the invoice due date.  Miscellaneous AP invoice or </w:t>
      </w:r>
      <w:r w:rsidR="00C726E7">
        <w:rPr>
          <w:rFonts w:asciiTheme="majorHAnsi" w:hAnsiTheme="majorHAnsi" w:cstheme="majorHAnsi"/>
          <w:sz w:val="21"/>
          <w:szCs w:val="21"/>
        </w:rPr>
        <w:t xml:space="preserve">Internal AP </w:t>
      </w:r>
      <w:r w:rsidRPr="00E40699">
        <w:rPr>
          <w:rFonts w:asciiTheme="majorHAnsi" w:hAnsiTheme="majorHAnsi" w:cstheme="majorHAnsi"/>
          <w:sz w:val="21"/>
          <w:szCs w:val="21"/>
        </w:rPr>
        <w:t xml:space="preserve">deduction reversals processed through FinOps owned tools are also governed by Table 1 below.    </w:t>
      </w:r>
    </w:p>
    <w:p w14:paraId="769DA0EF" w14:textId="77777777" w:rsidR="004F4687" w:rsidRDefault="004F4687" w:rsidP="004F4687">
      <w:pPr>
        <w:pStyle w:val="tree-node-step-prefix"/>
        <w:spacing w:before="0" w:beforeAutospacing="0" w:after="0" w:afterAutospacing="0"/>
        <w:contextualSpacing/>
        <w:jc w:val="both"/>
        <w:rPr>
          <w:rFonts w:asciiTheme="majorHAnsi" w:hAnsiTheme="majorHAnsi" w:cstheme="majorHAnsi"/>
          <w:i/>
          <w:sz w:val="20"/>
          <w:szCs w:val="20"/>
        </w:rPr>
      </w:pPr>
    </w:p>
    <w:p w14:paraId="636D5016" w14:textId="77777777" w:rsidR="004F4687" w:rsidRPr="00E40699" w:rsidRDefault="004F4687" w:rsidP="004F4687">
      <w:pPr>
        <w:pStyle w:val="tree-node-step-prefix"/>
        <w:spacing w:before="0" w:beforeAutospacing="0" w:after="0" w:afterAutospacing="0"/>
        <w:ind w:left="792"/>
        <w:contextualSpacing/>
        <w:jc w:val="both"/>
        <w:rPr>
          <w:rFonts w:asciiTheme="majorHAnsi" w:hAnsiTheme="majorHAnsi" w:cstheme="majorHAnsi"/>
          <w:sz w:val="21"/>
          <w:szCs w:val="21"/>
        </w:rPr>
      </w:pPr>
    </w:p>
    <w:tbl>
      <w:tblPr>
        <w:tblW w:w="10195" w:type="dxa"/>
        <w:jc w:val="center"/>
        <w:tblLook w:val="04A0" w:firstRow="1" w:lastRow="0" w:firstColumn="1" w:lastColumn="0" w:noHBand="0" w:noVBand="1"/>
      </w:tblPr>
      <w:tblGrid>
        <w:gridCol w:w="3272"/>
        <w:gridCol w:w="2224"/>
        <w:gridCol w:w="2278"/>
        <w:gridCol w:w="2421"/>
      </w:tblGrid>
      <w:tr w:rsidR="004F4687" w:rsidRPr="00C0060B" w14:paraId="4E1AD3A2" w14:textId="77777777" w:rsidTr="00542D01">
        <w:trPr>
          <w:trHeight w:val="220"/>
          <w:jc w:val="center"/>
        </w:trPr>
        <w:tc>
          <w:tcPr>
            <w:tcW w:w="10195" w:type="dxa"/>
            <w:gridSpan w:val="4"/>
            <w:tcBorders>
              <w:top w:val="double" w:sz="6" w:space="0" w:color="A6A6A6"/>
              <w:left w:val="double" w:sz="6" w:space="0" w:color="A6A6A6"/>
              <w:bottom w:val="double" w:sz="6" w:space="0" w:color="A6A6A6"/>
              <w:right w:val="double" w:sz="6" w:space="0" w:color="A6A6A6"/>
            </w:tcBorders>
            <w:shd w:val="clear" w:color="auto" w:fill="auto"/>
            <w:vAlign w:val="center"/>
          </w:tcPr>
          <w:p w14:paraId="73A64E68" w14:textId="77777777" w:rsidR="004F4687" w:rsidRPr="00C0060B" w:rsidRDefault="004F4687" w:rsidP="00542D01">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Table 1: Authorization approval limits for FinOps owned paybacks and adjustments</w:t>
            </w:r>
          </w:p>
        </w:tc>
      </w:tr>
      <w:tr w:rsidR="004F4687" w:rsidRPr="00C0060B" w14:paraId="52D90F3A" w14:textId="77777777" w:rsidTr="00A25D38">
        <w:trPr>
          <w:trHeight w:val="220"/>
          <w:jc w:val="center"/>
        </w:trPr>
        <w:tc>
          <w:tcPr>
            <w:tcW w:w="3272" w:type="dxa"/>
            <w:tcBorders>
              <w:top w:val="double" w:sz="6" w:space="0" w:color="A6A6A6"/>
              <w:left w:val="double" w:sz="6" w:space="0" w:color="A6A6A6"/>
              <w:bottom w:val="double" w:sz="6" w:space="0" w:color="A6A6A6"/>
              <w:right w:val="double" w:sz="6" w:space="0" w:color="A6A6A6"/>
            </w:tcBorders>
            <w:shd w:val="clear" w:color="auto" w:fill="auto"/>
            <w:hideMark/>
          </w:tcPr>
          <w:p w14:paraId="7635BE66" w14:textId="63AFA25C" w:rsidR="004F4687" w:rsidRPr="00C0060B" w:rsidRDefault="004F4687" w:rsidP="004F4687">
            <w:pPr>
              <w:spacing w:after="0" w:line="240" w:lineRule="auto"/>
              <w:jc w:val="both"/>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FinOps</w:t>
            </w:r>
          </w:p>
        </w:tc>
        <w:tc>
          <w:tcPr>
            <w:tcW w:w="2224" w:type="dxa"/>
            <w:tcBorders>
              <w:top w:val="double" w:sz="6" w:space="0" w:color="A6A6A6"/>
              <w:left w:val="nil"/>
              <w:bottom w:val="double" w:sz="6" w:space="0" w:color="A6A6A6"/>
              <w:right w:val="double" w:sz="6" w:space="0" w:color="A6A6A6"/>
            </w:tcBorders>
            <w:shd w:val="clear" w:color="auto" w:fill="auto"/>
          </w:tcPr>
          <w:p w14:paraId="06D63303" w14:textId="77777777" w:rsidR="004F4687" w:rsidRPr="00C0060B" w:rsidRDefault="004F4687" w:rsidP="004F4687">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Retail</w:t>
            </w:r>
          </w:p>
        </w:tc>
        <w:tc>
          <w:tcPr>
            <w:tcW w:w="2278" w:type="dxa"/>
            <w:tcBorders>
              <w:top w:val="double" w:sz="6" w:space="0" w:color="A6A6A6"/>
              <w:left w:val="nil"/>
              <w:bottom w:val="double" w:sz="6" w:space="0" w:color="A6A6A6"/>
              <w:right w:val="double" w:sz="6" w:space="0" w:color="A6A6A6"/>
            </w:tcBorders>
            <w:shd w:val="clear" w:color="auto" w:fill="auto"/>
          </w:tcPr>
          <w:p w14:paraId="626FB98D" w14:textId="77777777" w:rsidR="004F4687" w:rsidRPr="00C0060B" w:rsidRDefault="004F4687" w:rsidP="004F4687">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Retail Finance</w:t>
            </w:r>
          </w:p>
        </w:tc>
        <w:tc>
          <w:tcPr>
            <w:tcW w:w="2421" w:type="dxa"/>
            <w:tcBorders>
              <w:top w:val="double" w:sz="6" w:space="0" w:color="A6A6A6"/>
              <w:left w:val="nil"/>
              <w:bottom w:val="double" w:sz="6" w:space="0" w:color="A6A6A6"/>
              <w:right w:val="double" w:sz="6" w:space="0" w:color="A6A6A6"/>
            </w:tcBorders>
            <w:shd w:val="clear" w:color="auto" w:fill="auto"/>
            <w:vAlign w:val="center"/>
          </w:tcPr>
          <w:p w14:paraId="732E50A7" w14:textId="2861B36B" w:rsidR="004F4687" w:rsidRPr="00C0060B" w:rsidRDefault="004F4687" w:rsidP="004F4687">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 Value USD*</w:t>
            </w:r>
          </w:p>
        </w:tc>
      </w:tr>
      <w:tr w:rsidR="004F4687" w:rsidRPr="00C0060B" w14:paraId="55961484" w14:textId="77777777" w:rsidTr="00542D01">
        <w:trPr>
          <w:trHeight w:val="223"/>
          <w:jc w:val="center"/>
        </w:trPr>
        <w:tc>
          <w:tcPr>
            <w:tcW w:w="3272" w:type="dxa"/>
            <w:tcBorders>
              <w:top w:val="nil"/>
              <w:left w:val="double" w:sz="6" w:space="0" w:color="A6A6A6"/>
              <w:bottom w:val="double" w:sz="6" w:space="0" w:color="A6A6A6"/>
              <w:right w:val="double" w:sz="6" w:space="0" w:color="A6A6A6"/>
            </w:tcBorders>
            <w:shd w:val="clear" w:color="auto" w:fill="auto"/>
            <w:noWrap/>
            <w:vAlign w:val="center"/>
            <w:hideMark/>
          </w:tcPr>
          <w:p w14:paraId="6C2A07F3" w14:textId="384AA46C" w:rsidR="004F4687" w:rsidRPr="00C0060B" w:rsidRDefault="004F4687" w:rsidP="004F4687">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Level 4</w:t>
            </w:r>
          </w:p>
        </w:tc>
        <w:tc>
          <w:tcPr>
            <w:tcW w:w="2224" w:type="dxa"/>
            <w:tcBorders>
              <w:top w:val="nil"/>
              <w:left w:val="double" w:sz="6" w:space="0" w:color="A6A6A6"/>
              <w:bottom w:val="double" w:sz="6" w:space="0" w:color="A6A6A6"/>
              <w:right w:val="double" w:sz="6" w:space="0" w:color="A6A6A6"/>
            </w:tcBorders>
            <w:shd w:val="clear" w:color="auto" w:fill="auto"/>
            <w:noWrap/>
            <w:vAlign w:val="center"/>
            <w:hideMark/>
          </w:tcPr>
          <w:p w14:paraId="237FD3FD" w14:textId="77777777" w:rsidR="004F4687" w:rsidRPr="00C0060B" w:rsidRDefault="004F4687" w:rsidP="004F4687">
            <w:pPr>
              <w:spacing w:after="0" w:line="240" w:lineRule="auto"/>
              <w:jc w:val="center"/>
              <w:rPr>
                <w:rFonts w:asciiTheme="majorHAnsi" w:eastAsia="Times New Roman" w:hAnsiTheme="majorHAnsi" w:cstheme="majorHAnsi"/>
                <w:color w:val="808080" w:themeColor="background1" w:themeShade="8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noWrap/>
            <w:vAlign w:val="center"/>
            <w:hideMark/>
          </w:tcPr>
          <w:p w14:paraId="79F45B29" w14:textId="77777777" w:rsidR="004F4687" w:rsidRPr="00C0060B" w:rsidRDefault="004F4687" w:rsidP="004F4687">
            <w:pPr>
              <w:spacing w:after="0" w:line="240" w:lineRule="auto"/>
              <w:jc w:val="center"/>
              <w:rPr>
                <w:rFonts w:asciiTheme="majorHAnsi" w:eastAsia="Times New Roman" w:hAnsiTheme="majorHAnsi" w:cstheme="majorHAnsi"/>
                <w:i/>
                <w:color w:val="808080" w:themeColor="background1" w:themeShade="8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2E5A3453" w14:textId="1C155615"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$5,000 or less</w:t>
            </w:r>
          </w:p>
        </w:tc>
      </w:tr>
      <w:tr w:rsidR="004F4687" w:rsidRPr="00C0060B" w14:paraId="6A449EDA" w14:textId="77777777" w:rsidTr="00542D01">
        <w:trPr>
          <w:trHeight w:val="220"/>
          <w:jc w:val="center"/>
        </w:trPr>
        <w:tc>
          <w:tcPr>
            <w:tcW w:w="3272" w:type="dxa"/>
            <w:tcBorders>
              <w:top w:val="double" w:sz="6" w:space="0" w:color="A6A6A6"/>
              <w:left w:val="double" w:sz="6" w:space="0" w:color="A6A6A6"/>
              <w:bottom w:val="double" w:sz="6" w:space="0" w:color="A6A6A6"/>
              <w:right w:val="double" w:sz="6" w:space="0" w:color="A6A6A6"/>
            </w:tcBorders>
            <w:shd w:val="clear" w:color="auto" w:fill="auto"/>
            <w:noWrap/>
            <w:vAlign w:val="center"/>
            <w:hideMark/>
          </w:tcPr>
          <w:p w14:paraId="799DE6EA" w14:textId="6D27F901" w:rsidR="004F4687" w:rsidRPr="00C0060B" w:rsidRDefault="004F4687" w:rsidP="004F4687">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Level 5</w:t>
            </w:r>
          </w:p>
        </w:tc>
        <w:tc>
          <w:tcPr>
            <w:tcW w:w="2224" w:type="dxa"/>
            <w:tcBorders>
              <w:top w:val="nil"/>
              <w:left w:val="double" w:sz="6" w:space="0" w:color="A6A6A6"/>
              <w:bottom w:val="double" w:sz="6" w:space="0" w:color="A6A6A6"/>
              <w:right w:val="double" w:sz="6" w:space="0" w:color="A6A6A6"/>
            </w:tcBorders>
            <w:shd w:val="clear" w:color="auto" w:fill="auto"/>
            <w:noWrap/>
            <w:vAlign w:val="center"/>
            <w:hideMark/>
          </w:tcPr>
          <w:p w14:paraId="39B08C7B" w14:textId="77777777" w:rsidR="004F4687" w:rsidRPr="00C0060B" w:rsidRDefault="004F4687" w:rsidP="004F4687">
            <w:pPr>
              <w:spacing w:after="0" w:line="240" w:lineRule="auto"/>
              <w:jc w:val="center"/>
              <w:rPr>
                <w:rFonts w:asciiTheme="majorHAnsi" w:eastAsia="Times New Roman" w:hAnsiTheme="majorHAnsi" w:cstheme="majorHAnsi"/>
                <w:color w:val="808080" w:themeColor="background1" w:themeShade="8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hideMark/>
          </w:tcPr>
          <w:p w14:paraId="450A0CB2" w14:textId="77777777" w:rsidR="004F4687" w:rsidRPr="00C0060B" w:rsidRDefault="004F4687" w:rsidP="004F4687">
            <w:pPr>
              <w:spacing w:after="0" w:line="240" w:lineRule="auto"/>
              <w:jc w:val="center"/>
              <w:rPr>
                <w:rFonts w:asciiTheme="majorHAnsi" w:eastAsia="Times New Roman" w:hAnsiTheme="majorHAnsi" w:cstheme="majorHAnsi"/>
                <w:i/>
                <w:color w:val="808080" w:themeColor="background1" w:themeShade="8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2D95E37B" w14:textId="44973254"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$5,001 -$10,000</w:t>
            </w:r>
          </w:p>
        </w:tc>
      </w:tr>
      <w:tr w:rsidR="004F4687" w:rsidRPr="00C0060B" w14:paraId="2091B8DA" w14:textId="77777777" w:rsidTr="00542D01">
        <w:trPr>
          <w:trHeight w:val="303"/>
          <w:jc w:val="center"/>
        </w:trPr>
        <w:tc>
          <w:tcPr>
            <w:tcW w:w="3272" w:type="dxa"/>
            <w:tcBorders>
              <w:top w:val="nil"/>
              <w:left w:val="double" w:sz="6" w:space="0" w:color="A6A6A6"/>
              <w:right w:val="double" w:sz="6" w:space="0" w:color="A6A6A6"/>
            </w:tcBorders>
            <w:shd w:val="clear" w:color="auto" w:fill="auto"/>
            <w:noWrap/>
            <w:vAlign w:val="center"/>
            <w:hideMark/>
          </w:tcPr>
          <w:p w14:paraId="658F01BC" w14:textId="5DE4FC87" w:rsidR="004F4687" w:rsidRPr="00C0060B" w:rsidRDefault="004F4687" w:rsidP="004F4687">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Level 6</w:t>
            </w:r>
          </w:p>
        </w:tc>
        <w:tc>
          <w:tcPr>
            <w:tcW w:w="2224" w:type="dxa"/>
            <w:tcBorders>
              <w:top w:val="nil"/>
              <w:left w:val="double" w:sz="6" w:space="0" w:color="A6A6A6"/>
              <w:bottom w:val="double" w:sz="4" w:space="0" w:color="A5A5A5" w:themeColor="accent3"/>
              <w:right w:val="double" w:sz="6" w:space="0" w:color="A6A6A6"/>
            </w:tcBorders>
            <w:shd w:val="clear" w:color="auto" w:fill="auto"/>
            <w:vAlign w:val="center"/>
            <w:hideMark/>
          </w:tcPr>
          <w:p w14:paraId="3A4282C2" w14:textId="77777777"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hideMark/>
          </w:tcPr>
          <w:p w14:paraId="249F10D0" w14:textId="77777777"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0554C838" w14:textId="045312D1"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$10,001 - $75,000</w:t>
            </w:r>
          </w:p>
        </w:tc>
      </w:tr>
      <w:tr w:rsidR="004F4687" w:rsidRPr="00C0060B" w14:paraId="72BE741E" w14:textId="77777777" w:rsidTr="00542D01">
        <w:trPr>
          <w:trHeight w:val="220"/>
          <w:jc w:val="center"/>
        </w:trPr>
        <w:tc>
          <w:tcPr>
            <w:tcW w:w="3272" w:type="dxa"/>
            <w:tcBorders>
              <w:top w:val="double" w:sz="6" w:space="0" w:color="A6A6A6"/>
              <w:left w:val="double" w:sz="6" w:space="0" w:color="A6A6A6"/>
              <w:bottom w:val="double" w:sz="6" w:space="0" w:color="A6A6A6"/>
              <w:right w:val="double" w:sz="6" w:space="0" w:color="A6A6A6"/>
            </w:tcBorders>
            <w:shd w:val="clear" w:color="auto" w:fill="auto"/>
            <w:noWrap/>
            <w:vAlign w:val="center"/>
            <w:hideMark/>
          </w:tcPr>
          <w:p w14:paraId="116D58FE" w14:textId="2DDAC36B" w:rsidR="004F4687" w:rsidRPr="00C0060B" w:rsidRDefault="004F4687" w:rsidP="004F4687">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Level 7</w:t>
            </w:r>
          </w:p>
        </w:tc>
        <w:tc>
          <w:tcPr>
            <w:tcW w:w="2224"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hideMark/>
          </w:tcPr>
          <w:p w14:paraId="2AFBBAED" w14:textId="77777777"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hideMark/>
          </w:tcPr>
          <w:p w14:paraId="163EE7D9" w14:textId="77777777"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065129D5" w14:textId="2CEA969B"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$75,001 - $100,000</w:t>
            </w:r>
          </w:p>
        </w:tc>
      </w:tr>
      <w:tr w:rsidR="004F4687" w:rsidRPr="00C0060B" w14:paraId="772C9703" w14:textId="77777777" w:rsidTr="00542D01">
        <w:trPr>
          <w:trHeight w:val="220"/>
          <w:jc w:val="center"/>
        </w:trPr>
        <w:tc>
          <w:tcPr>
            <w:tcW w:w="3272" w:type="dxa"/>
            <w:tcBorders>
              <w:top w:val="double" w:sz="6" w:space="0" w:color="A6A6A6"/>
              <w:left w:val="double" w:sz="6" w:space="0" w:color="A6A6A6"/>
              <w:bottom w:val="double" w:sz="6" w:space="0" w:color="A6A6A6"/>
              <w:right w:val="double" w:sz="6" w:space="0" w:color="A6A6A6"/>
            </w:tcBorders>
            <w:shd w:val="clear" w:color="auto" w:fill="auto"/>
            <w:noWrap/>
            <w:vAlign w:val="center"/>
          </w:tcPr>
          <w:p w14:paraId="6837922B" w14:textId="25B6AF5C" w:rsidR="004F4687" w:rsidRPr="00C0060B" w:rsidRDefault="004F4687" w:rsidP="004F4687">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 xml:space="preserve">Per levels defined in the </w:t>
            </w:r>
            <w:hyperlink r:id="rId12" w:anchor="amz_section01" w:history="1">
              <w:r w:rsidRPr="00C0060B">
                <w:rPr>
                  <w:rStyle w:val="Hyperlink"/>
                  <w:rFonts w:asciiTheme="majorHAnsi" w:hAnsiTheme="majorHAnsi" w:cstheme="majorHAnsi"/>
                  <w:sz w:val="18"/>
                  <w:szCs w:val="18"/>
                </w:rPr>
                <w:t>Spending &amp; Transaction Policy</w:t>
              </w:r>
            </w:hyperlink>
          </w:p>
        </w:tc>
        <w:tc>
          <w:tcPr>
            <w:tcW w:w="2224"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36EF78FA" w14:textId="3A2EBE62" w:rsidR="004F4687" w:rsidRPr="00C0060B" w:rsidRDefault="004F4687" w:rsidP="004F4687">
            <w:pPr>
              <w:spacing w:after="0" w:line="240" w:lineRule="auto"/>
              <w:jc w:val="center"/>
              <w:rPr>
                <w:rFonts w:asciiTheme="majorHAnsi" w:eastAsia="Times New Roman" w:hAnsiTheme="majorHAnsi" w:cstheme="majorHAnsi"/>
                <w:i/>
                <w:color w:val="808080" w:themeColor="background1" w:themeShade="80"/>
                <w:sz w:val="18"/>
                <w:szCs w:val="18"/>
                <w:lang w:val="en-GB" w:eastAsia="en-GB"/>
              </w:rPr>
            </w:pPr>
            <w:r w:rsidRPr="00C0060B">
              <w:rPr>
                <w:rFonts w:asciiTheme="majorHAnsi" w:eastAsia="Times New Roman" w:hAnsiTheme="majorHAnsi" w:cstheme="majorHAnsi"/>
                <w:color w:val="000000"/>
                <w:sz w:val="18"/>
                <w:szCs w:val="18"/>
                <w:lang w:val="en-GB" w:eastAsia="en-GB"/>
              </w:rPr>
              <w:t xml:space="preserve">Per levels defined in the </w:t>
            </w:r>
            <w:hyperlink r:id="rId13" w:anchor="amz_section01" w:history="1">
              <w:r w:rsidRPr="00C0060B">
                <w:rPr>
                  <w:rStyle w:val="Hyperlink"/>
                  <w:rFonts w:asciiTheme="majorHAnsi" w:hAnsiTheme="majorHAnsi" w:cstheme="majorHAnsi"/>
                  <w:sz w:val="18"/>
                  <w:szCs w:val="18"/>
                </w:rPr>
                <w:t>Spending &amp; Transaction Policy</w:t>
              </w:r>
            </w:hyperlink>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1C00E43E" w14:textId="7F45AD00" w:rsidR="004F4687" w:rsidRPr="00C0060B" w:rsidRDefault="004F4687" w:rsidP="004F4687">
            <w:pPr>
              <w:spacing w:after="0" w:line="240" w:lineRule="auto"/>
              <w:jc w:val="center"/>
              <w:rPr>
                <w:rFonts w:asciiTheme="majorHAnsi" w:eastAsia="Times New Roman" w:hAnsiTheme="majorHAnsi" w:cstheme="majorHAnsi"/>
                <w:i/>
                <w:color w:val="808080" w:themeColor="background1" w:themeShade="80"/>
                <w:sz w:val="18"/>
                <w:szCs w:val="18"/>
                <w:lang w:val="en-GB" w:eastAsia="en-GB"/>
              </w:rPr>
            </w:pPr>
            <w:r w:rsidRPr="00C0060B">
              <w:rPr>
                <w:rFonts w:asciiTheme="majorHAnsi" w:eastAsia="Times New Roman" w:hAnsiTheme="majorHAnsi" w:cstheme="majorHAnsi"/>
                <w:color w:val="000000"/>
                <w:sz w:val="18"/>
                <w:szCs w:val="18"/>
                <w:lang w:val="en-GB" w:eastAsia="en-GB"/>
              </w:rPr>
              <w:t xml:space="preserve">Per levels defined in the </w:t>
            </w:r>
            <w:hyperlink r:id="rId14" w:anchor="amz_section01" w:history="1">
              <w:r w:rsidRPr="00C0060B">
                <w:rPr>
                  <w:rStyle w:val="Hyperlink"/>
                  <w:rFonts w:asciiTheme="majorHAnsi" w:hAnsiTheme="majorHAnsi" w:cstheme="majorHAnsi"/>
                  <w:sz w:val="18"/>
                  <w:szCs w:val="18"/>
                </w:rPr>
                <w:t>Spending &amp; Transaction Policy</w:t>
              </w:r>
            </w:hyperlink>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6940D4B2" w14:textId="56757565" w:rsidR="004F4687" w:rsidRPr="00C0060B" w:rsidRDefault="004F4687" w:rsidP="004F4687">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Over $100,000</w:t>
            </w:r>
          </w:p>
        </w:tc>
      </w:tr>
    </w:tbl>
    <w:p w14:paraId="619AECEA" w14:textId="77777777" w:rsidR="004F4687" w:rsidRDefault="004F4687" w:rsidP="004F4687">
      <w:pPr>
        <w:pStyle w:val="tree-node-step-prefix"/>
        <w:spacing w:before="0" w:beforeAutospacing="0" w:after="0" w:afterAutospacing="0"/>
        <w:ind w:firstLine="360"/>
        <w:contextualSpacing/>
        <w:jc w:val="both"/>
        <w:rPr>
          <w:rFonts w:asciiTheme="majorHAnsi" w:hAnsiTheme="majorHAnsi" w:cstheme="majorHAnsi"/>
          <w:i/>
          <w:sz w:val="20"/>
          <w:szCs w:val="20"/>
        </w:rPr>
      </w:pPr>
      <w:r w:rsidRPr="00BE1C80">
        <w:rPr>
          <w:rFonts w:asciiTheme="majorHAnsi" w:hAnsiTheme="majorHAnsi" w:cstheme="majorHAnsi"/>
          <w:i/>
          <w:sz w:val="20"/>
          <w:szCs w:val="20"/>
        </w:rPr>
        <w:t>*Or Non-US local equivalent per definition in section 4.</w:t>
      </w:r>
    </w:p>
    <w:p w14:paraId="38BEA3D1" w14:textId="77777777" w:rsidR="004F4687" w:rsidRPr="00BE1C80" w:rsidRDefault="004F4687" w:rsidP="00E40699">
      <w:pPr>
        <w:pStyle w:val="tree-node-step-prefix"/>
        <w:spacing w:before="0" w:beforeAutospacing="0" w:after="0" w:afterAutospacing="0"/>
        <w:ind w:firstLine="360"/>
        <w:contextualSpacing/>
        <w:jc w:val="both"/>
        <w:rPr>
          <w:rFonts w:asciiTheme="majorHAnsi" w:hAnsiTheme="majorHAnsi" w:cstheme="majorHAnsi"/>
          <w:i/>
          <w:sz w:val="20"/>
          <w:szCs w:val="20"/>
        </w:rPr>
      </w:pPr>
    </w:p>
    <w:p w14:paraId="7B2899D0" w14:textId="77777777" w:rsidR="00E40699" w:rsidRPr="00BE1C80" w:rsidRDefault="00E40699" w:rsidP="00E40699">
      <w:pPr>
        <w:pStyle w:val="tree-node-step-prefix"/>
        <w:spacing w:before="0" w:beforeAutospacing="0" w:after="0" w:afterAutospacing="0"/>
        <w:contextualSpacing/>
        <w:jc w:val="both"/>
        <w:rPr>
          <w:rFonts w:asciiTheme="majorHAnsi" w:hAnsiTheme="majorHAnsi" w:cstheme="majorHAnsi"/>
          <w:i/>
          <w:sz w:val="22"/>
        </w:rPr>
      </w:pPr>
    </w:p>
    <w:p w14:paraId="5FA1AE68" w14:textId="74EBB94E" w:rsidR="00E40699" w:rsidRPr="00E40699" w:rsidRDefault="00E40699" w:rsidP="00E40699">
      <w:pPr>
        <w:pStyle w:val="tree-node-step-prefix"/>
        <w:numPr>
          <w:ilvl w:val="1"/>
          <w:numId w:val="25"/>
        </w:numPr>
        <w:spacing w:before="0" w:beforeAutospacing="0" w:after="0" w:afterAutospacing="0"/>
        <w:contextualSpacing/>
        <w:jc w:val="both"/>
        <w:rPr>
          <w:rFonts w:asciiTheme="majorHAnsi" w:hAnsiTheme="majorHAnsi" w:cstheme="majorHAnsi"/>
          <w:sz w:val="21"/>
          <w:szCs w:val="21"/>
        </w:rPr>
      </w:pPr>
      <w:r w:rsidRPr="00E40699">
        <w:rPr>
          <w:rFonts w:asciiTheme="majorHAnsi" w:hAnsiTheme="majorHAnsi" w:cstheme="majorHAnsi"/>
          <w:sz w:val="21"/>
          <w:szCs w:val="21"/>
        </w:rPr>
        <w:t>Table 2 provides authorization limits for the Price Claim Reversals (PCR) process maintained under Retail ownership and executed through FinOps applications.  FinOps approval levels refer to</w:t>
      </w:r>
      <w:r w:rsidR="0078191C">
        <w:rPr>
          <w:rFonts w:asciiTheme="majorHAnsi" w:hAnsiTheme="majorHAnsi" w:cstheme="majorHAnsi"/>
          <w:sz w:val="21"/>
          <w:szCs w:val="21"/>
        </w:rPr>
        <w:t xml:space="preserve"> operational</w:t>
      </w:r>
      <w:r w:rsidRPr="00E40699">
        <w:rPr>
          <w:rFonts w:asciiTheme="majorHAnsi" w:hAnsiTheme="majorHAnsi" w:cstheme="majorHAnsi"/>
          <w:sz w:val="21"/>
          <w:szCs w:val="21"/>
        </w:rPr>
        <w:t xml:space="preserve"> execution</w:t>
      </w:r>
      <w:r w:rsidR="0078191C">
        <w:rPr>
          <w:rFonts w:asciiTheme="majorHAnsi" w:hAnsiTheme="majorHAnsi" w:cstheme="majorHAnsi"/>
          <w:sz w:val="21"/>
          <w:szCs w:val="21"/>
        </w:rPr>
        <w:t xml:space="preserve"> required</w:t>
      </w:r>
      <w:r w:rsidRPr="00E40699">
        <w:rPr>
          <w:rFonts w:asciiTheme="majorHAnsi" w:hAnsiTheme="majorHAnsi" w:cstheme="majorHAnsi"/>
          <w:sz w:val="21"/>
          <w:szCs w:val="21"/>
        </w:rPr>
        <w:t xml:space="preserve"> </w:t>
      </w:r>
      <w:r w:rsidR="0078191C">
        <w:rPr>
          <w:rFonts w:asciiTheme="majorHAnsi" w:hAnsiTheme="majorHAnsi" w:cstheme="majorHAnsi"/>
          <w:sz w:val="21"/>
          <w:szCs w:val="21"/>
        </w:rPr>
        <w:t>in FinOps owned or managed systems</w:t>
      </w:r>
      <w:r w:rsidRPr="00E40699">
        <w:rPr>
          <w:rFonts w:asciiTheme="majorHAnsi" w:hAnsiTheme="majorHAnsi" w:cstheme="majorHAnsi"/>
          <w:sz w:val="21"/>
          <w:szCs w:val="21"/>
        </w:rPr>
        <w:t xml:space="preserve"> to process the reversal post Retail and Retail Finance review.  A Purchase Price Variance (PPV) occurs when a vendor is invoicing Amazon at a higher unit cost than the unit cost confirmed on the purchase order and the difference is deducted from the Vendor’s payment.  Subsequent reversal of a PPV deduction is referred to as a PCR.  </w:t>
      </w:r>
    </w:p>
    <w:p w14:paraId="58ACB0B5" w14:textId="77777777" w:rsidR="00E40699" w:rsidRDefault="00E40699" w:rsidP="00E40699">
      <w:pPr>
        <w:pStyle w:val="tree-node-step-prefix"/>
        <w:spacing w:before="0" w:beforeAutospacing="0" w:after="0" w:afterAutospacing="0"/>
        <w:contextualSpacing/>
        <w:jc w:val="both"/>
        <w:rPr>
          <w:rFonts w:asciiTheme="majorHAnsi" w:hAnsiTheme="majorHAnsi" w:cstheme="majorHAnsi"/>
          <w:sz w:val="22"/>
        </w:rPr>
      </w:pPr>
    </w:p>
    <w:tbl>
      <w:tblPr>
        <w:tblW w:w="10195" w:type="dxa"/>
        <w:jc w:val="center"/>
        <w:tblLook w:val="04A0" w:firstRow="1" w:lastRow="0" w:firstColumn="1" w:lastColumn="0" w:noHBand="0" w:noVBand="1"/>
      </w:tblPr>
      <w:tblGrid>
        <w:gridCol w:w="3272"/>
        <w:gridCol w:w="2224"/>
        <w:gridCol w:w="2278"/>
        <w:gridCol w:w="2421"/>
      </w:tblGrid>
      <w:tr w:rsidR="00E40699" w:rsidRPr="00C0060B" w14:paraId="58FF3188" w14:textId="77777777" w:rsidTr="00316F3A">
        <w:trPr>
          <w:trHeight w:val="220"/>
          <w:jc w:val="center"/>
        </w:trPr>
        <w:tc>
          <w:tcPr>
            <w:tcW w:w="10195" w:type="dxa"/>
            <w:gridSpan w:val="4"/>
            <w:tcBorders>
              <w:top w:val="double" w:sz="6" w:space="0" w:color="A6A6A6"/>
              <w:left w:val="double" w:sz="6" w:space="0" w:color="A6A6A6"/>
              <w:bottom w:val="double" w:sz="6" w:space="0" w:color="A6A6A6"/>
              <w:right w:val="double" w:sz="6" w:space="0" w:color="A6A6A6"/>
            </w:tcBorders>
            <w:shd w:val="clear" w:color="auto" w:fill="auto"/>
            <w:vAlign w:val="center"/>
          </w:tcPr>
          <w:p w14:paraId="7404034A" w14:textId="77777777" w:rsidR="00E40699" w:rsidRPr="00C0060B" w:rsidRDefault="00E40699" w:rsidP="00316F3A">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Table 2: Authorization approval limits for Retail owned PCR paybacks and adjustments transacted through FinOps Applications</w:t>
            </w:r>
          </w:p>
        </w:tc>
      </w:tr>
      <w:tr w:rsidR="00E40699" w:rsidRPr="00C0060B" w14:paraId="1966A497" w14:textId="77777777" w:rsidTr="00316F3A">
        <w:trPr>
          <w:trHeight w:val="220"/>
          <w:jc w:val="center"/>
        </w:trPr>
        <w:tc>
          <w:tcPr>
            <w:tcW w:w="3272" w:type="dxa"/>
            <w:tcBorders>
              <w:top w:val="double" w:sz="6" w:space="0" w:color="A6A6A6"/>
              <w:left w:val="double" w:sz="6" w:space="0" w:color="A6A6A6"/>
              <w:bottom w:val="double" w:sz="6" w:space="0" w:color="A6A6A6"/>
              <w:right w:val="double" w:sz="6" w:space="0" w:color="A6A6A6"/>
            </w:tcBorders>
            <w:shd w:val="clear" w:color="auto" w:fill="auto"/>
            <w:vAlign w:val="center"/>
            <w:hideMark/>
          </w:tcPr>
          <w:p w14:paraId="511C0DCA" w14:textId="77777777" w:rsidR="00E40699" w:rsidRPr="00C0060B" w:rsidRDefault="00E40699" w:rsidP="00316F3A">
            <w:pPr>
              <w:spacing w:after="0" w:line="240" w:lineRule="auto"/>
              <w:jc w:val="both"/>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 Value USD*</w:t>
            </w:r>
          </w:p>
        </w:tc>
        <w:tc>
          <w:tcPr>
            <w:tcW w:w="2224" w:type="dxa"/>
            <w:tcBorders>
              <w:top w:val="double" w:sz="6" w:space="0" w:color="A6A6A6"/>
              <w:left w:val="nil"/>
              <w:bottom w:val="double" w:sz="6" w:space="0" w:color="A6A6A6"/>
              <w:right w:val="double" w:sz="6" w:space="0" w:color="A6A6A6"/>
            </w:tcBorders>
            <w:shd w:val="clear" w:color="auto" w:fill="auto"/>
          </w:tcPr>
          <w:p w14:paraId="3C49E0FD" w14:textId="77777777" w:rsidR="00E40699" w:rsidRPr="00C0060B" w:rsidRDefault="00E40699" w:rsidP="00316F3A">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Retail</w:t>
            </w:r>
          </w:p>
        </w:tc>
        <w:tc>
          <w:tcPr>
            <w:tcW w:w="2278" w:type="dxa"/>
            <w:tcBorders>
              <w:top w:val="double" w:sz="6" w:space="0" w:color="A6A6A6"/>
              <w:left w:val="nil"/>
              <w:bottom w:val="double" w:sz="6" w:space="0" w:color="A6A6A6"/>
              <w:right w:val="double" w:sz="6" w:space="0" w:color="A6A6A6"/>
            </w:tcBorders>
            <w:shd w:val="clear" w:color="auto" w:fill="auto"/>
          </w:tcPr>
          <w:p w14:paraId="7949253F" w14:textId="77777777" w:rsidR="00E40699" w:rsidRPr="00C0060B" w:rsidRDefault="00E40699" w:rsidP="00316F3A">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Retail Finance</w:t>
            </w:r>
          </w:p>
        </w:tc>
        <w:tc>
          <w:tcPr>
            <w:tcW w:w="2421" w:type="dxa"/>
            <w:tcBorders>
              <w:top w:val="double" w:sz="6" w:space="0" w:color="A6A6A6"/>
              <w:left w:val="nil"/>
              <w:bottom w:val="double" w:sz="6" w:space="0" w:color="A6A6A6"/>
              <w:right w:val="double" w:sz="6" w:space="0" w:color="A6A6A6"/>
            </w:tcBorders>
            <w:shd w:val="clear" w:color="auto" w:fill="auto"/>
          </w:tcPr>
          <w:p w14:paraId="0626CBD7" w14:textId="77777777" w:rsidR="00E40699" w:rsidRPr="00C0060B" w:rsidRDefault="00E40699" w:rsidP="00316F3A">
            <w:pPr>
              <w:spacing w:after="0" w:line="240" w:lineRule="auto"/>
              <w:jc w:val="center"/>
              <w:rPr>
                <w:rFonts w:asciiTheme="majorHAnsi" w:eastAsia="Times New Roman" w:hAnsiTheme="majorHAnsi" w:cstheme="majorHAnsi"/>
                <w:b/>
                <w:bCs/>
                <w:color w:val="000000"/>
                <w:sz w:val="18"/>
                <w:szCs w:val="18"/>
                <w:lang w:val="en-GB" w:eastAsia="en-GB"/>
              </w:rPr>
            </w:pPr>
            <w:r w:rsidRPr="00C0060B">
              <w:rPr>
                <w:rFonts w:asciiTheme="majorHAnsi" w:eastAsia="Times New Roman" w:hAnsiTheme="majorHAnsi" w:cstheme="majorHAnsi"/>
                <w:b/>
                <w:bCs/>
                <w:color w:val="000000"/>
                <w:sz w:val="18"/>
                <w:szCs w:val="18"/>
                <w:lang w:val="en-GB" w:eastAsia="en-GB"/>
              </w:rPr>
              <w:t>FinOps</w:t>
            </w:r>
          </w:p>
        </w:tc>
      </w:tr>
      <w:tr w:rsidR="00E40699" w:rsidRPr="00C0060B" w14:paraId="6CFE646E" w14:textId="77777777" w:rsidTr="00316F3A">
        <w:trPr>
          <w:trHeight w:val="223"/>
          <w:jc w:val="center"/>
        </w:trPr>
        <w:tc>
          <w:tcPr>
            <w:tcW w:w="3272" w:type="dxa"/>
            <w:tcBorders>
              <w:top w:val="nil"/>
              <w:left w:val="double" w:sz="6" w:space="0" w:color="A6A6A6"/>
              <w:bottom w:val="double" w:sz="6" w:space="0" w:color="A6A6A6"/>
              <w:right w:val="double" w:sz="6" w:space="0" w:color="A6A6A6"/>
            </w:tcBorders>
            <w:shd w:val="clear" w:color="auto" w:fill="auto"/>
            <w:noWrap/>
            <w:vAlign w:val="center"/>
          </w:tcPr>
          <w:p w14:paraId="11C4F226" w14:textId="77777777" w:rsidR="00E40699" w:rsidRPr="00C0060B" w:rsidRDefault="00E40699" w:rsidP="00316F3A">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$2,000 or less</w:t>
            </w:r>
          </w:p>
        </w:tc>
        <w:tc>
          <w:tcPr>
            <w:tcW w:w="2224" w:type="dxa"/>
            <w:tcBorders>
              <w:top w:val="nil"/>
              <w:left w:val="double" w:sz="6" w:space="0" w:color="A6A6A6"/>
              <w:bottom w:val="double" w:sz="6" w:space="0" w:color="A6A6A6"/>
              <w:right w:val="double" w:sz="6" w:space="0" w:color="A6A6A6"/>
            </w:tcBorders>
            <w:shd w:val="clear" w:color="auto" w:fill="auto"/>
            <w:noWrap/>
            <w:vAlign w:val="center"/>
          </w:tcPr>
          <w:p w14:paraId="4B8A659C"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color w:val="000000" w:themeColor="text1"/>
                <w:sz w:val="18"/>
                <w:szCs w:val="18"/>
                <w:lang w:val="en-GB" w:eastAsia="en-GB"/>
              </w:rPr>
              <w:t>Level 2 or 3</w:t>
            </w:r>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noWrap/>
            <w:vAlign w:val="center"/>
          </w:tcPr>
          <w:p w14:paraId="1768E84B"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2EA437D3" w14:textId="77777777" w:rsidR="00E40699" w:rsidRPr="00C0060B" w:rsidRDefault="00E40699" w:rsidP="00316F3A">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Level 4</w:t>
            </w:r>
          </w:p>
        </w:tc>
      </w:tr>
      <w:tr w:rsidR="00E40699" w:rsidRPr="00C0060B" w14:paraId="38A99A8D" w14:textId="77777777" w:rsidTr="00316F3A">
        <w:trPr>
          <w:trHeight w:val="223"/>
          <w:jc w:val="center"/>
        </w:trPr>
        <w:tc>
          <w:tcPr>
            <w:tcW w:w="3272" w:type="dxa"/>
            <w:tcBorders>
              <w:top w:val="nil"/>
              <w:left w:val="double" w:sz="6" w:space="0" w:color="A6A6A6"/>
              <w:bottom w:val="double" w:sz="6" w:space="0" w:color="A6A6A6"/>
              <w:right w:val="double" w:sz="6" w:space="0" w:color="A6A6A6"/>
            </w:tcBorders>
            <w:shd w:val="clear" w:color="auto" w:fill="auto"/>
            <w:noWrap/>
            <w:vAlign w:val="center"/>
            <w:hideMark/>
          </w:tcPr>
          <w:p w14:paraId="765FB470" w14:textId="77777777" w:rsidR="00E40699" w:rsidRPr="00C0060B" w:rsidRDefault="00E40699" w:rsidP="00316F3A">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$2,0001 - $5,000</w:t>
            </w:r>
          </w:p>
        </w:tc>
        <w:tc>
          <w:tcPr>
            <w:tcW w:w="2224" w:type="dxa"/>
            <w:tcBorders>
              <w:top w:val="nil"/>
              <w:left w:val="double" w:sz="6" w:space="0" w:color="A6A6A6"/>
              <w:bottom w:val="double" w:sz="6" w:space="0" w:color="A6A6A6"/>
              <w:right w:val="double" w:sz="6" w:space="0" w:color="A6A6A6"/>
            </w:tcBorders>
            <w:shd w:val="clear" w:color="auto" w:fill="auto"/>
            <w:noWrap/>
            <w:vAlign w:val="center"/>
            <w:hideMark/>
          </w:tcPr>
          <w:p w14:paraId="509A1CDB"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color w:val="000000" w:themeColor="text1"/>
                <w:sz w:val="18"/>
                <w:szCs w:val="18"/>
                <w:lang w:val="en-GB" w:eastAsia="en-GB"/>
              </w:rPr>
              <w:t>Level 4</w:t>
            </w:r>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noWrap/>
            <w:hideMark/>
          </w:tcPr>
          <w:p w14:paraId="4351D440"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35487B29" w14:textId="77777777" w:rsidR="00E40699" w:rsidRPr="00C0060B" w:rsidRDefault="00E40699" w:rsidP="00316F3A">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Level 4</w:t>
            </w:r>
          </w:p>
        </w:tc>
      </w:tr>
      <w:tr w:rsidR="00E40699" w:rsidRPr="00C0060B" w14:paraId="598CF400" w14:textId="77777777" w:rsidTr="00316F3A">
        <w:trPr>
          <w:trHeight w:val="220"/>
          <w:jc w:val="center"/>
        </w:trPr>
        <w:tc>
          <w:tcPr>
            <w:tcW w:w="3272" w:type="dxa"/>
            <w:tcBorders>
              <w:top w:val="double" w:sz="6" w:space="0" w:color="A6A6A6"/>
              <w:left w:val="double" w:sz="6" w:space="0" w:color="A6A6A6"/>
              <w:bottom w:val="double" w:sz="6" w:space="0" w:color="A6A6A6"/>
              <w:right w:val="double" w:sz="6" w:space="0" w:color="A6A6A6"/>
            </w:tcBorders>
            <w:shd w:val="clear" w:color="auto" w:fill="auto"/>
            <w:noWrap/>
            <w:vAlign w:val="center"/>
            <w:hideMark/>
          </w:tcPr>
          <w:p w14:paraId="5D9AF813" w14:textId="77777777" w:rsidR="00E40699" w:rsidRPr="00C0060B" w:rsidRDefault="00E40699" w:rsidP="00316F3A">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$5,001 -$10,000</w:t>
            </w:r>
          </w:p>
        </w:tc>
        <w:tc>
          <w:tcPr>
            <w:tcW w:w="2224" w:type="dxa"/>
            <w:tcBorders>
              <w:top w:val="nil"/>
              <w:left w:val="double" w:sz="6" w:space="0" w:color="A6A6A6"/>
              <w:bottom w:val="double" w:sz="6" w:space="0" w:color="A6A6A6"/>
              <w:right w:val="double" w:sz="6" w:space="0" w:color="A6A6A6"/>
            </w:tcBorders>
            <w:shd w:val="clear" w:color="auto" w:fill="auto"/>
            <w:noWrap/>
            <w:vAlign w:val="center"/>
            <w:hideMark/>
          </w:tcPr>
          <w:p w14:paraId="1D2BDD7A"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color w:val="000000" w:themeColor="text1"/>
                <w:sz w:val="18"/>
                <w:szCs w:val="18"/>
                <w:lang w:val="en-GB" w:eastAsia="en-GB"/>
              </w:rPr>
              <w:t>Level 5</w:t>
            </w:r>
          </w:p>
        </w:tc>
        <w:tc>
          <w:tcPr>
            <w:tcW w:w="2278"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hideMark/>
          </w:tcPr>
          <w:p w14:paraId="36DC4C5D"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i/>
                <w:color w:val="808080" w:themeColor="background1" w:themeShade="80"/>
                <w:sz w:val="18"/>
                <w:szCs w:val="18"/>
                <w:lang w:val="en-GB" w:eastAsia="en-GB"/>
              </w:rPr>
              <w:t>Not Required</w:t>
            </w:r>
          </w:p>
        </w:tc>
        <w:tc>
          <w:tcPr>
            <w:tcW w:w="2421" w:type="dxa"/>
            <w:tcBorders>
              <w:top w:val="double" w:sz="4" w:space="0" w:color="A5A5A5" w:themeColor="accent3"/>
              <w:left w:val="double" w:sz="6" w:space="0" w:color="A6A6A6"/>
              <w:bottom w:val="double" w:sz="4" w:space="0" w:color="A5A5A5" w:themeColor="accent3"/>
              <w:right w:val="double" w:sz="6" w:space="0" w:color="A6A6A6"/>
            </w:tcBorders>
            <w:shd w:val="clear" w:color="auto" w:fill="auto"/>
            <w:vAlign w:val="center"/>
          </w:tcPr>
          <w:p w14:paraId="3C6A6AB8" w14:textId="77777777" w:rsidR="00E40699" w:rsidRPr="00C0060B" w:rsidRDefault="00E40699" w:rsidP="00316F3A">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Level 5</w:t>
            </w:r>
          </w:p>
        </w:tc>
      </w:tr>
      <w:tr w:rsidR="00E40699" w:rsidRPr="00C0060B" w14:paraId="5C674FC4" w14:textId="77777777" w:rsidTr="00316F3A">
        <w:trPr>
          <w:trHeight w:val="303"/>
          <w:jc w:val="center"/>
        </w:trPr>
        <w:tc>
          <w:tcPr>
            <w:tcW w:w="3272" w:type="dxa"/>
            <w:tcBorders>
              <w:top w:val="nil"/>
              <w:left w:val="double" w:sz="6" w:space="0" w:color="A6A6A6"/>
              <w:bottom w:val="double" w:sz="4" w:space="0" w:color="A5A5A5" w:themeColor="accent3"/>
              <w:right w:val="double" w:sz="6" w:space="0" w:color="A6A6A6"/>
            </w:tcBorders>
            <w:shd w:val="clear" w:color="auto" w:fill="auto"/>
            <w:noWrap/>
            <w:vAlign w:val="center"/>
          </w:tcPr>
          <w:p w14:paraId="0F799811" w14:textId="77777777" w:rsidR="00E40699" w:rsidRPr="00C0060B" w:rsidRDefault="00E40699" w:rsidP="00316F3A">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$10,001 - $50,000</w:t>
            </w:r>
          </w:p>
        </w:tc>
        <w:tc>
          <w:tcPr>
            <w:tcW w:w="4502" w:type="dxa"/>
            <w:gridSpan w:val="2"/>
            <w:vMerge w:val="restart"/>
            <w:tcBorders>
              <w:top w:val="nil"/>
              <w:left w:val="double" w:sz="6" w:space="0" w:color="A6A6A6"/>
              <w:right w:val="double" w:sz="6" w:space="0" w:color="A6A6A6"/>
            </w:tcBorders>
            <w:shd w:val="clear" w:color="auto" w:fill="auto"/>
            <w:vAlign w:val="center"/>
          </w:tcPr>
          <w:p w14:paraId="46CB8583" w14:textId="77777777" w:rsidR="00E40699" w:rsidRPr="00C0060B" w:rsidRDefault="00E40699" w:rsidP="00316F3A">
            <w:pPr>
              <w:spacing w:after="0" w:line="240" w:lineRule="auto"/>
              <w:jc w:val="center"/>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 xml:space="preserve">Per levels defined in the </w:t>
            </w:r>
            <w:hyperlink r:id="rId15" w:anchor="amz_section01" w:history="1">
              <w:r w:rsidRPr="00C0060B">
                <w:rPr>
                  <w:rStyle w:val="Hyperlink"/>
                  <w:rFonts w:asciiTheme="majorHAnsi" w:hAnsiTheme="majorHAnsi" w:cstheme="majorHAnsi"/>
                  <w:sz w:val="18"/>
                  <w:szCs w:val="18"/>
                </w:rPr>
                <w:t>Spending &amp; Transaction Policy</w:t>
              </w:r>
            </w:hyperlink>
          </w:p>
        </w:tc>
        <w:tc>
          <w:tcPr>
            <w:tcW w:w="2421" w:type="dxa"/>
            <w:tcBorders>
              <w:top w:val="nil"/>
              <w:left w:val="double" w:sz="6" w:space="0" w:color="A6A6A6"/>
              <w:bottom w:val="double" w:sz="4" w:space="0" w:color="A5A5A5" w:themeColor="accent3"/>
              <w:right w:val="double" w:sz="6" w:space="0" w:color="A6A6A6"/>
            </w:tcBorders>
            <w:shd w:val="clear" w:color="auto" w:fill="auto"/>
            <w:vAlign w:val="center"/>
          </w:tcPr>
          <w:p w14:paraId="08CDDB6B"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color w:val="000000" w:themeColor="text1"/>
                <w:sz w:val="18"/>
                <w:szCs w:val="18"/>
                <w:lang w:val="en-GB" w:eastAsia="en-GB"/>
              </w:rPr>
              <w:t>Level 5</w:t>
            </w:r>
          </w:p>
        </w:tc>
      </w:tr>
      <w:tr w:rsidR="00E40699" w:rsidRPr="00C0060B" w14:paraId="16AB5B20" w14:textId="77777777" w:rsidTr="00316F3A">
        <w:trPr>
          <w:trHeight w:val="303"/>
          <w:jc w:val="center"/>
        </w:trPr>
        <w:tc>
          <w:tcPr>
            <w:tcW w:w="3272" w:type="dxa"/>
            <w:tcBorders>
              <w:top w:val="nil"/>
              <w:left w:val="double" w:sz="6" w:space="0" w:color="A6A6A6"/>
              <w:bottom w:val="double" w:sz="4" w:space="0" w:color="A5A5A5" w:themeColor="accent3"/>
              <w:right w:val="double" w:sz="6" w:space="0" w:color="A6A6A6"/>
            </w:tcBorders>
            <w:shd w:val="clear" w:color="auto" w:fill="auto"/>
            <w:noWrap/>
            <w:vAlign w:val="center"/>
          </w:tcPr>
          <w:p w14:paraId="026BFF61" w14:textId="77777777" w:rsidR="00E40699" w:rsidRPr="00C0060B" w:rsidRDefault="00E40699" w:rsidP="00316F3A">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$50,001 - $250,000</w:t>
            </w:r>
          </w:p>
        </w:tc>
        <w:tc>
          <w:tcPr>
            <w:tcW w:w="4502" w:type="dxa"/>
            <w:gridSpan w:val="2"/>
            <w:vMerge/>
            <w:tcBorders>
              <w:left w:val="double" w:sz="6" w:space="0" w:color="A6A6A6"/>
              <w:right w:val="double" w:sz="6" w:space="0" w:color="A6A6A6"/>
            </w:tcBorders>
            <w:shd w:val="clear" w:color="auto" w:fill="auto"/>
            <w:vAlign w:val="center"/>
          </w:tcPr>
          <w:p w14:paraId="0430D24E" w14:textId="77777777" w:rsidR="00E40699" w:rsidRPr="00C0060B" w:rsidRDefault="00E40699" w:rsidP="00316F3A">
            <w:pPr>
              <w:spacing w:after="0" w:line="240" w:lineRule="auto"/>
              <w:jc w:val="center"/>
              <w:rPr>
                <w:rFonts w:asciiTheme="majorHAnsi" w:eastAsia="Times New Roman" w:hAnsiTheme="majorHAnsi" w:cstheme="majorHAnsi"/>
                <w:color w:val="000000"/>
                <w:sz w:val="18"/>
                <w:szCs w:val="18"/>
                <w:lang w:val="en-GB" w:eastAsia="en-GB"/>
              </w:rPr>
            </w:pPr>
          </w:p>
        </w:tc>
        <w:tc>
          <w:tcPr>
            <w:tcW w:w="2421" w:type="dxa"/>
            <w:tcBorders>
              <w:top w:val="nil"/>
              <w:left w:val="double" w:sz="6" w:space="0" w:color="A6A6A6"/>
              <w:bottom w:val="double" w:sz="4" w:space="0" w:color="A5A5A5" w:themeColor="accent3"/>
              <w:right w:val="double" w:sz="6" w:space="0" w:color="A6A6A6"/>
            </w:tcBorders>
            <w:shd w:val="clear" w:color="auto" w:fill="auto"/>
            <w:vAlign w:val="center"/>
          </w:tcPr>
          <w:p w14:paraId="6000B84D"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color w:val="000000" w:themeColor="text1"/>
                <w:sz w:val="18"/>
                <w:szCs w:val="18"/>
                <w:lang w:val="en-GB" w:eastAsia="en-GB"/>
              </w:rPr>
              <w:t>Level 6</w:t>
            </w:r>
          </w:p>
        </w:tc>
      </w:tr>
      <w:tr w:rsidR="00E40699" w:rsidRPr="00C0060B" w14:paraId="69BFC2C0" w14:textId="77777777" w:rsidTr="00316F3A">
        <w:trPr>
          <w:trHeight w:val="303"/>
          <w:jc w:val="center"/>
        </w:trPr>
        <w:tc>
          <w:tcPr>
            <w:tcW w:w="3272" w:type="dxa"/>
            <w:tcBorders>
              <w:top w:val="nil"/>
              <w:left w:val="double" w:sz="6" w:space="0" w:color="A6A6A6"/>
              <w:bottom w:val="double" w:sz="4" w:space="0" w:color="A5A5A5" w:themeColor="accent3"/>
              <w:right w:val="double" w:sz="6" w:space="0" w:color="A6A6A6"/>
            </w:tcBorders>
            <w:shd w:val="clear" w:color="auto" w:fill="auto"/>
            <w:noWrap/>
            <w:vAlign w:val="center"/>
          </w:tcPr>
          <w:p w14:paraId="46D39A2A" w14:textId="77777777" w:rsidR="00E40699" w:rsidRPr="00C0060B" w:rsidRDefault="00E40699" w:rsidP="00316F3A">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$250,001 - $1,000,000</w:t>
            </w:r>
          </w:p>
        </w:tc>
        <w:tc>
          <w:tcPr>
            <w:tcW w:w="4502" w:type="dxa"/>
            <w:gridSpan w:val="2"/>
            <w:vMerge/>
            <w:tcBorders>
              <w:left w:val="double" w:sz="6" w:space="0" w:color="A6A6A6"/>
              <w:right w:val="double" w:sz="6" w:space="0" w:color="A6A6A6"/>
            </w:tcBorders>
            <w:shd w:val="clear" w:color="auto" w:fill="auto"/>
            <w:vAlign w:val="center"/>
          </w:tcPr>
          <w:p w14:paraId="3ECE184C" w14:textId="77777777" w:rsidR="00E40699" w:rsidRPr="00C0060B" w:rsidRDefault="00E40699" w:rsidP="00316F3A">
            <w:pPr>
              <w:spacing w:after="0" w:line="240" w:lineRule="auto"/>
              <w:jc w:val="center"/>
              <w:rPr>
                <w:rFonts w:asciiTheme="majorHAnsi" w:eastAsia="Times New Roman" w:hAnsiTheme="majorHAnsi" w:cstheme="majorHAnsi"/>
                <w:color w:val="000000"/>
                <w:sz w:val="18"/>
                <w:szCs w:val="18"/>
                <w:lang w:val="en-GB" w:eastAsia="en-GB"/>
              </w:rPr>
            </w:pPr>
          </w:p>
        </w:tc>
        <w:tc>
          <w:tcPr>
            <w:tcW w:w="2421" w:type="dxa"/>
            <w:tcBorders>
              <w:top w:val="nil"/>
              <w:left w:val="double" w:sz="6" w:space="0" w:color="A6A6A6"/>
              <w:bottom w:val="double" w:sz="4" w:space="0" w:color="A5A5A5" w:themeColor="accent3"/>
              <w:right w:val="double" w:sz="6" w:space="0" w:color="A6A6A6"/>
            </w:tcBorders>
            <w:shd w:val="clear" w:color="auto" w:fill="auto"/>
            <w:vAlign w:val="center"/>
          </w:tcPr>
          <w:p w14:paraId="0386E9B0"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color w:val="000000" w:themeColor="text1"/>
                <w:sz w:val="18"/>
                <w:szCs w:val="18"/>
                <w:lang w:val="en-GB" w:eastAsia="en-GB"/>
              </w:rPr>
              <w:t>Level 7</w:t>
            </w:r>
          </w:p>
        </w:tc>
      </w:tr>
      <w:tr w:rsidR="00E40699" w:rsidRPr="00C0060B" w14:paraId="5E037C07" w14:textId="77777777" w:rsidTr="00316F3A">
        <w:trPr>
          <w:trHeight w:val="303"/>
          <w:jc w:val="center"/>
        </w:trPr>
        <w:tc>
          <w:tcPr>
            <w:tcW w:w="3272" w:type="dxa"/>
            <w:tcBorders>
              <w:top w:val="nil"/>
              <w:left w:val="double" w:sz="6" w:space="0" w:color="A6A6A6"/>
              <w:bottom w:val="double" w:sz="4" w:space="0" w:color="A5A5A5" w:themeColor="accent3"/>
              <w:right w:val="double" w:sz="6" w:space="0" w:color="A6A6A6"/>
            </w:tcBorders>
            <w:shd w:val="clear" w:color="auto" w:fill="auto"/>
            <w:noWrap/>
            <w:vAlign w:val="center"/>
            <w:hideMark/>
          </w:tcPr>
          <w:p w14:paraId="7C9F3A54" w14:textId="77777777" w:rsidR="00E40699" w:rsidRPr="00C0060B" w:rsidRDefault="00E40699" w:rsidP="00316F3A">
            <w:pPr>
              <w:spacing w:after="0" w:line="240" w:lineRule="auto"/>
              <w:jc w:val="both"/>
              <w:rPr>
                <w:rFonts w:asciiTheme="majorHAnsi" w:eastAsia="Times New Roman" w:hAnsiTheme="majorHAnsi" w:cstheme="majorHAnsi"/>
                <w:color w:val="000000"/>
                <w:sz w:val="18"/>
                <w:szCs w:val="18"/>
                <w:lang w:val="en-GB" w:eastAsia="en-GB"/>
              </w:rPr>
            </w:pPr>
            <w:r w:rsidRPr="00C0060B">
              <w:rPr>
                <w:rFonts w:asciiTheme="majorHAnsi" w:eastAsia="Times New Roman" w:hAnsiTheme="majorHAnsi" w:cstheme="majorHAnsi"/>
                <w:color w:val="000000"/>
                <w:sz w:val="18"/>
                <w:szCs w:val="18"/>
                <w:lang w:val="en-GB" w:eastAsia="en-GB"/>
              </w:rPr>
              <w:t>Over $1,000,000</w:t>
            </w:r>
          </w:p>
        </w:tc>
        <w:tc>
          <w:tcPr>
            <w:tcW w:w="4502" w:type="dxa"/>
            <w:gridSpan w:val="2"/>
            <w:vMerge/>
            <w:tcBorders>
              <w:left w:val="double" w:sz="6" w:space="0" w:color="A6A6A6"/>
              <w:bottom w:val="double" w:sz="4" w:space="0" w:color="A5A5A5" w:themeColor="accent3"/>
              <w:right w:val="double" w:sz="6" w:space="0" w:color="A6A6A6"/>
            </w:tcBorders>
            <w:shd w:val="clear" w:color="auto" w:fill="auto"/>
            <w:vAlign w:val="center"/>
            <w:hideMark/>
          </w:tcPr>
          <w:p w14:paraId="038DAF04"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p>
        </w:tc>
        <w:tc>
          <w:tcPr>
            <w:tcW w:w="2421" w:type="dxa"/>
            <w:tcBorders>
              <w:top w:val="nil"/>
              <w:left w:val="double" w:sz="6" w:space="0" w:color="A6A6A6"/>
              <w:bottom w:val="double" w:sz="4" w:space="0" w:color="A5A5A5" w:themeColor="accent3"/>
              <w:right w:val="double" w:sz="6" w:space="0" w:color="A6A6A6"/>
            </w:tcBorders>
            <w:shd w:val="clear" w:color="auto" w:fill="auto"/>
            <w:vAlign w:val="center"/>
          </w:tcPr>
          <w:p w14:paraId="6D7FE1BA" w14:textId="77777777" w:rsidR="00E40699" w:rsidRPr="00C0060B" w:rsidRDefault="00E40699" w:rsidP="00316F3A">
            <w:pPr>
              <w:spacing w:after="0" w:line="240" w:lineRule="auto"/>
              <w:jc w:val="center"/>
              <w:rPr>
                <w:rFonts w:asciiTheme="majorHAnsi" w:eastAsia="Times New Roman" w:hAnsiTheme="majorHAnsi" w:cstheme="majorHAnsi"/>
                <w:color w:val="000000" w:themeColor="text1"/>
                <w:sz w:val="18"/>
                <w:szCs w:val="18"/>
                <w:lang w:val="en-GB" w:eastAsia="en-GB"/>
              </w:rPr>
            </w:pPr>
            <w:r w:rsidRPr="00C0060B">
              <w:rPr>
                <w:rFonts w:asciiTheme="majorHAnsi" w:eastAsia="Times New Roman" w:hAnsiTheme="majorHAnsi" w:cstheme="majorHAnsi"/>
                <w:color w:val="000000" w:themeColor="text1"/>
                <w:sz w:val="18"/>
                <w:szCs w:val="18"/>
                <w:lang w:val="en-GB" w:eastAsia="en-GB"/>
              </w:rPr>
              <w:t xml:space="preserve">Per levels defined in the </w:t>
            </w:r>
            <w:hyperlink r:id="rId16" w:anchor="amz_section01" w:history="1">
              <w:r w:rsidRPr="00C0060B">
                <w:rPr>
                  <w:rStyle w:val="Hyperlink"/>
                  <w:rFonts w:asciiTheme="majorHAnsi" w:hAnsiTheme="majorHAnsi" w:cstheme="majorHAnsi"/>
                  <w:sz w:val="18"/>
                  <w:szCs w:val="18"/>
                </w:rPr>
                <w:t>Spending &amp; Transaction Policy</w:t>
              </w:r>
            </w:hyperlink>
            <w:r w:rsidRPr="00C0060B">
              <w:rPr>
                <w:rFonts w:asciiTheme="majorHAnsi" w:eastAsia="Times New Roman" w:hAnsiTheme="majorHAnsi" w:cstheme="majorHAnsi"/>
                <w:color w:val="000000" w:themeColor="text1"/>
                <w:sz w:val="18"/>
                <w:szCs w:val="18"/>
                <w:lang w:val="en-GB" w:eastAsia="en-GB"/>
              </w:rPr>
              <w:t xml:space="preserve"> </w:t>
            </w:r>
          </w:p>
        </w:tc>
      </w:tr>
    </w:tbl>
    <w:p w14:paraId="6D2567FF" w14:textId="77777777" w:rsidR="00721883" w:rsidRPr="00BE1C80" w:rsidRDefault="00721883" w:rsidP="00721883">
      <w:pPr>
        <w:pStyle w:val="tree-node-step-prefix"/>
        <w:spacing w:before="0" w:beforeAutospacing="0" w:after="0" w:afterAutospacing="0"/>
        <w:ind w:firstLine="360"/>
        <w:contextualSpacing/>
        <w:jc w:val="both"/>
        <w:rPr>
          <w:rFonts w:asciiTheme="majorHAnsi" w:hAnsiTheme="majorHAnsi" w:cstheme="majorHAnsi"/>
          <w:i/>
          <w:sz w:val="20"/>
          <w:szCs w:val="20"/>
        </w:rPr>
      </w:pPr>
      <w:r w:rsidRPr="00BE1C80">
        <w:rPr>
          <w:rFonts w:asciiTheme="majorHAnsi" w:hAnsiTheme="majorHAnsi" w:cstheme="majorHAnsi"/>
          <w:i/>
          <w:sz w:val="20"/>
          <w:szCs w:val="20"/>
        </w:rPr>
        <w:t>*Or Non-US local equivalent per definition in section 4.</w:t>
      </w:r>
    </w:p>
    <w:p w14:paraId="46BA0244" w14:textId="77777777" w:rsidR="00E40699" w:rsidRDefault="00E40699" w:rsidP="00E40699">
      <w:pPr>
        <w:pStyle w:val="tree-node-step-prefix"/>
        <w:spacing w:before="0" w:beforeAutospacing="0" w:after="0" w:afterAutospacing="0"/>
        <w:contextualSpacing/>
        <w:jc w:val="both"/>
        <w:rPr>
          <w:rFonts w:asciiTheme="majorHAnsi" w:hAnsiTheme="majorHAnsi" w:cstheme="majorHAnsi"/>
          <w:sz w:val="22"/>
        </w:rPr>
      </w:pPr>
    </w:p>
    <w:p w14:paraId="68F5CFDB" w14:textId="77777777" w:rsidR="00E40699" w:rsidRPr="00E40699" w:rsidRDefault="00E40699" w:rsidP="00E40699">
      <w:pPr>
        <w:pStyle w:val="ListParagraph"/>
        <w:numPr>
          <w:ilvl w:val="0"/>
          <w:numId w:val="25"/>
        </w:numPr>
        <w:spacing w:after="0"/>
        <w:jc w:val="both"/>
        <w:rPr>
          <w:rStyle w:val="Strong"/>
          <w:rFonts w:asciiTheme="majorHAnsi" w:hAnsiTheme="majorHAnsi" w:cstheme="majorHAnsi"/>
          <w:bCs w:val="0"/>
          <w:sz w:val="21"/>
          <w:szCs w:val="21"/>
        </w:rPr>
      </w:pPr>
      <w:r w:rsidRPr="00E40699">
        <w:rPr>
          <w:rStyle w:val="Strong"/>
          <w:rFonts w:asciiTheme="majorHAnsi" w:hAnsiTheme="majorHAnsi" w:cstheme="majorHAnsi"/>
          <w:sz w:val="21"/>
          <w:szCs w:val="21"/>
        </w:rPr>
        <w:t>Global Risk and Compliance (GRC) controls:</w:t>
      </w:r>
    </w:p>
    <w:p w14:paraId="3933E6A4" w14:textId="77777777" w:rsidR="00E40699" w:rsidRPr="00E40699" w:rsidRDefault="00000000" w:rsidP="00E40699">
      <w:pPr>
        <w:pStyle w:val="ListParagraph"/>
        <w:numPr>
          <w:ilvl w:val="1"/>
          <w:numId w:val="25"/>
        </w:numPr>
        <w:spacing w:after="0"/>
        <w:jc w:val="both"/>
        <w:rPr>
          <w:rStyle w:val="Strong"/>
          <w:rFonts w:asciiTheme="majorHAnsi" w:hAnsiTheme="majorHAnsi" w:cstheme="majorHAnsi"/>
          <w:b w:val="0"/>
          <w:bCs w:val="0"/>
          <w:sz w:val="21"/>
          <w:szCs w:val="21"/>
        </w:rPr>
      </w:pPr>
      <w:hyperlink r:id="rId17" w:history="1">
        <w:r w:rsidR="00E40699" w:rsidRPr="00E40699">
          <w:rPr>
            <w:rStyle w:val="Hyperlink"/>
            <w:sz w:val="21"/>
            <w:szCs w:val="21"/>
          </w:rPr>
          <w:t>4215</w:t>
        </w:r>
      </w:hyperlink>
      <w:r w:rsidR="00E40699" w:rsidRPr="00E40699">
        <w:rPr>
          <w:rStyle w:val="Strong"/>
          <w:rFonts w:asciiTheme="majorHAnsi" w:hAnsiTheme="majorHAnsi" w:cstheme="majorHAnsi"/>
          <w:b w:val="0"/>
          <w:bCs w:val="0"/>
          <w:sz w:val="21"/>
          <w:szCs w:val="21"/>
        </w:rPr>
        <w:t>: Approval Authorization Limits Policy - Validation of Approval Limits in Appian (Q1 &amp; Q3)</w:t>
      </w:r>
    </w:p>
    <w:p w14:paraId="1723F281" w14:textId="77777777" w:rsidR="00E40699" w:rsidRPr="00E40699" w:rsidRDefault="00000000" w:rsidP="00E40699">
      <w:pPr>
        <w:pStyle w:val="ListParagraph"/>
        <w:numPr>
          <w:ilvl w:val="1"/>
          <w:numId w:val="25"/>
        </w:numPr>
        <w:spacing w:after="0"/>
        <w:jc w:val="both"/>
        <w:rPr>
          <w:rStyle w:val="Strong"/>
          <w:rFonts w:asciiTheme="majorHAnsi" w:hAnsiTheme="majorHAnsi" w:cstheme="majorHAnsi"/>
          <w:b w:val="0"/>
          <w:bCs w:val="0"/>
          <w:sz w:val="21"/>
          <w:szCs w:val="21"/>
        </w:rPr>
      </w:pPr>
      <w:hyperlink r:id="rId18" w:history="1">
        <w:r w:rsidR="00E40699" w:rsidRPr="00E40699">
          <w:rPr>
            <w:rStyle w:val="Hyperlink"/>
            <w:sz w:val="21"/>
            <w:szCs w:val="21"/>
          </w:rPr>
          <w:t>4132</w:t>
        </w:r>
      </w:hyperlink>
      <w:r w:rsidR="00E40699" w:rsidRPr="00E40699">
        <w:rPr>
          <w:rStyle w:val="Strong"/>
          <w:rFonts w:asciiTheme="majorHAnsi" w:hAnsiTheme="majorHAnsi" w:cstheme="majorHAnsi"/>
          <w:b w:val="0"/>
          <w:bCs w:val="0"/>
          <w:sz w:val="21"/>
          <w:szCs w:val="21"/>
        </w:rPr>
        <w:t>: Approval Authorization Limits Policy - Validation of Approval Limits in Creature (Q1 &amp; Q3)</w:t>
      </w:r>
    </w:p>
    <w:p w14:paraId="591AF8EE" w14:textId="77777777" w:rsidR="00E40699" w:rsidRPr="00E40699" w:rsidRDefault="00000000" w:rsidP="00E40699">
      <w:pPr>
        <w:pStyle w:val="ListParagraph"/>
        <w:numPr>
          <w:ilvl w:val="1"/>
          <w:numId w:val="25"/>
        </w:numPr>
        <w:spacing w:after="0"/>
        <w:jc w:val="both"/>
        <w:rPr>
          <w:rStyle w:val="Strong"/>
          <w:rFonts w:asciiTheme="majorHAnsi" w:hAnsiTheme="majorHAnsi" w:cstheme="majorHAnsi"/>
          <w:b w:val="0"/>
          <w:bCs w:val="0"/>
          <w:sz w:val="21"/>
          <w:szCs w:val="21"/>
        </w:rPr>
      </w:pPr>
      <w:hyperlink r:id="rId19" w:history="1">
        <w:r w:rsidR="00E40699" w:rsidRPr="00E40699">
          <w:rPr>
            <w:rStyle w:val="Hyperlink"/>
            <w:sz w:val="21"/>
            <w:szCs w:val="21"/>
          </w:rPr>
          <w:t>4133</w:t>
        </w:r>
      </w:hyperlink>
      <w:r w:rsidR="00E40699" w:rsidRPr="00E40699">
        <w:rPr>
          <w:rStyle w:val="Strong"/>
          <w:rFonts w:asciiTheme="majorHAnsi" w:hAnsiTheme="majorHAnsi" w:cstheme="majorHAnsi"/>
          <w:b w:val="0"/>
          <w:bCs w:val="0"/>
          <w:sz w:val="21"/>
          <w:szCs w:val="21"/>
        </w:rPr>
        <w:t>: Approval Authorization Limits Policy - Validation of Approval Limits in Fin Ops Central (Q1 &amp; Q3)</w:t>
      </w:r>
    </w:p>
    <w:p w14:paraId="0CDA4EFB" w14:textId="5278C41C" w:rsidR="0078191C" w:rsidRPr="00581D15" w:rsidRDefault="00000000" w:rsidP="00952C21">
      <w:pPr>
        <w:pStyle w:val="ListParagraph"/>
        <w:numPr>
          <w:ilvl w:val="1"/>
          <w:numId w:val="25"/>
        </w:numPr>
        <w:spacing w:after="0" w:line="240" w:lineRule="auto"/>
        <w:jc w:val="both"/>
        <w:rPr>
          <w:rStyle w:val="Strong"/>
          <w:rFonts w:asciiTheme="majorHAnsi" w:hAnsiTheme="majorHAnsi" w:cstheme="majorHAnsi"/>
          <w:b w:val="0"/>
          <w:bCs w:val="0"/>
        </w:rPr>
      </w:pPr>
      <w:hyperlink r:id="rId20" w:history="1">
        <w:r w:rsidR="00E40699" w:rsidRPr="00581D15">
          <w:rPr>
            <w:rStyle w:val="Hyperlink"/>
            <w:sz w:val="21"/>
            <w:szCs w:val="21"/>
          </w:rPr>
          <w:t>4119</w:t>
        </w:r>
      </w:hyperlink>
      <w:r w:rsidR="00E40699" w:rsidRPr="00581D15">
        <w:rPr>
          <w:sz w:val="21"/>
          <w:szCs w:val="21"/>
        </w:rPr>
        <w:t>:</w:t>
      </w:r>
      <w:r w:rsidR="00E40699" w:rsidRPr="00581D15">
        <w:rPr>
          <w:rStyle w:val="Strong"/>
          <w:rFonts w:asciiTheme="majorHAnsi" w:hAnsiTheme="majorHAnsi" w:cstheme="majorHAnsi"/>
          <w:b w:val="0"/>
          <w:bCs w:val="0"/>
          <w:sz w:val="21"/>
          <w:szCs w:val="21"/>
        </w:rPr>
        <w:t xml:space="preserve"> Approval Authorization Limits Policy - Review of Transactions Exempted from Retail Approval (Quarterly)</w:t>
      </w:r>
    </w:p>
    <w:sectPr w:rsidR="0078191C" w:rsidRPr="00581D15" w:rsidSect="00FB0F71">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851" w:header="720" w:footer="96"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E5E7" w14:textId="77777777" w:rsidR="009A787C" w:rsidRDefault="009A787C" w:rsidP="00007139">
      <w:pPr>
        <w:spacing w:after="0" w:line="240" w:lineRule="auto"/>
      </w:pPr>
      <w:r>
        <w:separator/>
      </w:r>
    </w:p>
  </w:endnote>
  <w:endnote w:type="continuationSeparator" w:id="0">
    <w:p w14:paraId="02BC179B" w14:textId="77777777" w:rsidR="009A787C" w:rsidRDefault="009A787C" w:rsidP="0000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BC186" w14:textId="77777777" w:rsidR="00643F5E" w:rsidRDefault="00643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0113" w14:textId="77777777" w:rsidR="00643F5E" w:rsidRDefault="00643F5E" w:rsidP="00007139">
    <w:pPr>
      <w:pStyle w:val="Footer"/>
      <w:jc w:val="center"/>
    </w:pPr>
    <w:r>
      <w:t>AMAZON CONFIDENTIAL</w:t>
    </w:r>
  </w:p>
  <w:p w14:paraId="79C21DE6" w14:textId="18AF0C89" w:rsidR="00643F5E" w:rsidRDefault="00000000">
    <w:pPr>
      <w:pStyle w:val="Footer"/>
      <w:jc w:val="right"/>
    </w:pPr>
    <w:sdt>
      <w:sdtPr>
        <w:id w:val="142396460"/>
        <w:docPartObj>
          <w:docPartGallery w:val="Page Numbers (Bottom of Page)"/>
          <w:docPartUnique/>
        </w:docPartObj>
      </w:sdtPr>
      <w:sdtEndPr>
        <w:rPr>
          <w:noProof/>
        </w:rPr>
      </w:sdtEndPr>
      <w:sdtContent>
        <w:r w:rsidR="00643F5E">
          <w:fldChar w:fldCharType="begin"/>
        </w:r>
        <w:r w:rsidR="00643F5E">
          <w:instrText xml:space="preserve"> PAGE   \* MERGEFORMAT </w:instrText>
        </w:r>
        <w:r w:rsidR="00643F5E">
          <w:fldChar w:fldCharType="separate"/>
        </w:r>
        <w:r w:rsidR="008B31CC">
          <w:rPr>
            <w:noProof/>
          </w:rPr>
          <w:t>2</w:t>
        </w:r>
        <w:r w:rsidR="00643F5E">
          <w:rPr>
            <w:noProof/>
          </w:rPr>
          <w:fldChar w:fldCharType="end"/>
        </w:r>
      </w:sdtContent>
    </w:sdt>
  </w:p>
  <w:p w14:paraId="27020541" w14:textId="77777777" w:rsidR="00643F5E" w:rsidRDefault="00643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6127" w14:textId="77777777" w:rsidR="00643F5E" w:rsidRDefault="00643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77E9" w14:textId="77777777" w:rsidR="009A787C" w:rsidRDefault="009A787C" w:rsidP="00007139">
      <w:pPr>
        <w:spacing w:after="0" w:line="240" w:lineRule="auto"/>
      </w:pPr>
      <w:r>
        <w:separator/>
      </w:r>
    </w:p>
  </w:footnote>
  <w:footnote w:type="continuationSeparator" w:id="0">
    <w:p w14:paraId="0BB2F641" w14:textId="77777777" w:rsidR="009A787C" w:rsidRDefault="009A787C" w:rsidP="00007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3918" w14:textId="77777777" w:rsidR="00643F5E" w:rsidRDefault="00643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06FD" w14:textId="653B28FC" w:rsidR="00643F5E" w:rsidRPr="00552B7E" w:rsidRDefault="00643F5E" w:rsidP="003917FC">
    <w:pPr>
      <w:pStyle w:val="Heading1"/>
      <w:rPr>
        <w:rFonts w:asciiTheme="majorHAnsi" w:hAnsiTheme="majorHAnsi" w:cstheme="majorHAnsi"/>
        <w:sz w:val="21"/>
        <w:szCs w:val="21"/>
        <w:lang w:val="en-GB"/>
      </w:rPr>
    </w:pPr>
    <w:r>
      <w:rPr>
        <w:rFonts w:asciiTheme="majorHAnsi" w:hAnsiTheme="majorHAnsi" w:cstheme="majorHAnsi"/>
        <w:sz w:val="21"/>
        <w:szCs w:val="21"/>
        <w:lang w:val="en-GB"/>
      </w:rPr>
      <w:t>Oct</w:t>
    </w:r>
    <w:r w:rsidRPr="00552B7E">
      <w:rPr>
        <w:rFonts w:asciiTheme="majorHAnsi" w:hAnsiTheme="majorHAnsi" w:cstheme="majorHAnsi"/>
        <w:sz w:val="21"/>
        <w:szCs w:val="21"/>
        <w:lang w:val="en-GB"/>
      </w:rPr>
      <w:t>-19</w:t>
    </w:r>
    <w:r w:rsidRPr="00552B7E">
      <w:rPr>
        <w:rFonts w:asciiTheme="majorHAnsi" w:hAnsiTheme="majorHAnsi" w:cstheme="majorHAnsi"/>
        <w:sz w:val="21"/>
        <w:szCs w:val="21"/>
        <w:lang w:val="en-GB"/>
      </w:rPr>
      <w:tab/>
    </w:r>
    <w:r w:rsidRPr="00552B7E">
      <w:rPr>
        <w:rFonts w:asciiTheme="majorHAnsi" w:hAnsiTheme="majorHAnsi" w:cstheme="majorHAnsi"/>
        <w:sz w:val="21"/>
        <w:szCs w:val="21"/>
        <w:lang w:val="en-GB"/>
      </w:rPr>
      <w:tab/>
    </w:r>
    <w:r w:rsidRPr="00552B7E">
      <w:rPr>
        <w:rFonts w:asciiTheme="majorHAnsi" w:hAnsiTheme="majorHAnsi" w:cstheme="majorHAnsi"/>
        <w:sz w:val="21"/>
        <w:szCs w:val="21"/>
        <w:lang w:val="en-GB"/>
      </w:rPr>
      <w:tab/>
    </w:r>
    <w:r w:rsidRPr="00552B7E">
      <w:rPr>
        <w:rFonts w:asciiTheme="majorHAnsi" w:hAnsiTheme="majorHAnsi" w:cstheme="majorHAnsi"/>
        <w:sz w:val="21"/>
        <w:szCs w:val="21"/>
        <w:lang w:val="en-GB"/>
      </w:rPr>
      <w:tab/>
    </w:r>
    <w:r>
      <w:rPr>
        <w:rFonts w:asciiTheme="majorHAnsi" w:hAnsiTheme="majorHAnsi" w:cstheme="majorHAnsi"/>
        <w:sz w:val="21"/>
        <w:szCs w:val="21"/>
        <w:lang w:val="en-GB"/>
      </w:rPr>
      <w:t>Global Finance Operations – Dependency Reduction</w:t>
    </w:r>
    <w:r>
      <w:rPr>
        <w:rFonts w:asciiTheme="majorHAnsi" w:hAnsiTheme="majorHAnsi" w:cstheme="majorHAnsi"/>
        <w:sz w:val="21"/>
        <w:szCs w:val="21"/>
        <w:lang w:val="en-GB"/>
      </w:rPr>
      <w:tab/>
    </w:r>
    <w:r>
      <w:rPr>
        <w:rFonts w:asciiTheme="majorHAnsi" w:hAnsiTheme="majorHAnsi" w:cstheme="majorHAnsi"/>
        <w:sz w:val="21"/>
        <w:szCs w:val="21"/>
        <w:lang w:val="en-GB"/>
      </w:rPr>
      <w:tab/>
    </w:r>
    <w:r w:rsidRPr="00552B7E">
      <w:rPr>
        <w:rFonts w:asciiTheme="majorHAnsi" w:hAnsiTheme="majorHAnsi" w:cstheme="majorHAnsi"/>
        <w:sz w:val="21"/>
        <w:szCs w:val="21"/>
        <w:lang w:val="en-GB"/>
      </w:rPr>
      <w:t>Marie Mundy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53136" w14:textId="77777777" w:rsidR="00643F5E" w:rsidRDefault="00643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E56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01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8CD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F465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F28D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14B2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DAF4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34A2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8CD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C299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C3E46"/>
    <w:multiLevelType w:val="multilevel"/>
    <w:tmpl w:val="564053E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D482F28"/>
    <w:multiLevelType w:val="hybridMultilevel"/>
    <w:tmpl w:val="9C86309C"/>
    <w:lvl w:ilvl="0" w:tplc="3E9685CA">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6504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636869"/>
    <w:multiLevelType w:val="hybridMultilevel"/>
    <w:tmpl w:val="35D45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91BC3"/>
    <w:multiLevelType w:val="hybridMultilevel"/>
    <w:tmpl w:val="72128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9301D8"/>
    <w:multiLevelType w:val="multilevel"/>
    <w:tmpl w:val="F1E47C48"/>
    <w:lvl w:ilvl="0">
      <w:start w:val="5"/>
      <w:numFmt w:val="decimal"/>
      <w:lvlText w:val="%1."/>
      <w:lvlJc w:val="left"/>
      <w:pPr>
        <w:ind w:left="360" w:hanging="360"/>
      </w:pPr>
      <w:rPr>
        <w:rFonts w:hint="default"/>
      </w:rPr>
    </w:lvl>
    <w:lvl w:ilvl="1">
      <w:start w:val="1"/>
      <w:numFmt w:val="decimal"/>
      <w:isLgl/>
      <w:lvlText w:val="%1.%2"/>
      <w:lvlJc w:val="left"/>
      <w:pPr>
        <w:ind w:left="644" w:hanging="360"/>
      </w:pPr>
      <w:rPr>
        <w:rFonts w:hint="default"/>
        <w:b w:val="0"/>
      </w:rPr>
    </w:lvl>
    <w:lvl w:ilvl="2">
      <w:start w:val="1"/>
      <w:numFmt w:val="decimal"/>
      <w:isLgl/>
      <w:lvlText w:val="%1.%2.%3"/>
      <w:lvlJc w:val="left"/>
      <w:pPr>
        <w:ind w:left="1571" w:hanging="720"/>
      </w:pPr>
      <w:rPr>
        <w:rFonts w:hint="default"/>
        <w:b/>
      </w:rPr>
    </w:lvl>
    <w:lvl w:ilvl="3">
      <w:start w:val="1"/>
      <w:numFmt w:val="decimal"/>
      <w:isLgl/>
      <w:lvlText w:val="%1.%2.%3.%4"/>
      <w:lvlJc w:val="left"/>
      <w:pPr>
        <w:ind w:left="2421"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16" w15:restartNumberingAfterBreak="0">
    <w:nsid w:val="288F39FA"/>
    <w:multiLevelType w:val="hybridMultilevel"/>
    <w:tmpl w:val="25522CB2"/>
    <w:lvl w:ilvl="0" w:tplc="04090015">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132AA"/>
    <w:multiLevelType w:val="multilevel"/>
    <w:tmpl w:val="11100EF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212D78"/>
    <w:multiLevelType w:val="multilevel"/>
    <w:tmpl w:val="9C166D66"/>
    <w:lvl w:ilvl="0">
      <w:start w:val="1"/>
      <w:numFmt w:val="decimal"/>
      <w:lvlText w:val="%1."/>
      <w:lvlJc w:val="left"/>
      <w:pPr>
        <w:ind w:left="360" w:hanging="360"/>
      </w:pPr>
    </w:lvl>
    <w:lvl w:ilvl="1">
      <w:start w:val="1"/>
      <w:numFmt w:val="decimal"/>
      <w:isLgl/>
      <w:lvlText w:val="%1.%2"/>
      <w:lvlJc w:val="left"/>
      <w:pPr>
        <w:ind w:left="644" w:hanging="360"/>
      </w:pPr>
      <w:rPr>
        <w:rFonts w:hint="default"/>
        <w:b w:val="0"/>
      </w:rPr>
    </w:lvl>
    <w:lvl w:ilvl="2">
      <w:start w:val="1"/>
      <w:numFmt w:val="decimal"/>
      <w:isLgl/>
      <w:lvlText w:val="%1.%2.%3"/>
      <w:lvlJc w:val="left"/>
      <w:pPr>
        <w:ind w:left="1571" w:hanging="720"/>
      </w:pPr>
      <w:rPr>
        <w:rFonts w:hint="default"/>
        <w:b/>
      </w:rPr>
    </w:lvl>
    <w:lvl w:ilvl="3">
      <w:start w:val="1"/>
      <w:numFmt w:val="decimal"/>
      <w:isLgl/>
      <w:lvlText w:val="%1.%2.%3.%4"/>
      <w:lvlJc w:val="left"/>
      <w:pPr>
        <w:ind w:left="2421"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19" w15:restartNumberingAfterBreak="0">
    <w:nsid w:val="360F0B61"/>
    <w:multiLevelType w:val="multilevel"/>
    <w:tmpl w:val="2B188554"/>
    <w:lvl w:ilvl="0">
      <w:start w:val="2"/>
      <w:numFmt w:val="decimal"/>
      <w:lvlText w:val="%1."/>
      <w:lvlJc w:val="left"/>
      <w:pPr>
        <w:ind w:left="360" w:hanging="360"/>
      </w:pPr>
      <w:rPr>
        <w:rFonts w:hint="default"/>
        <w:b/>
      </w:rPr>
    </w:lvl>
    <w:lvl w:ilvl="1">
      <w:start w:val="1"/>
      <w:numFmt w:val="decimal"/>
      <w:lvlText w:val="%1.%2"/>
      <w:lvlJc w:val="left"/>
      <w:pPr>
        <w:ind w:left="502" w:hanging="36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2138" w:hanging="720"/>
      </w:pPr>
      <w:rPr>
        <w:rFonts w:hint="default"/>
      </w:rPr>
    </w:lvl>
    <w:lvl w:ilvl="4">
      <w:start w:val="1"/>
      <w:numFmt w:val="decimal"/>
      <w:lvlText w:val="%5."/>
      <w:lvlJc w:val="left"/>
      <w:pPr>
        <w:ind w:left="2138"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7F20B42"/>
    <w:multiLevelType w:val="hybridMultilevel"/>
    <w:tmpl w:val="85EE8C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F2C4CC2"/>
    <w:multiLevelType w:val="hybridMultilevel"/>
    <w:tmpl w:val="166A36AC"/>
    <w:lvl w:ilvl="0" w:tplc="EE7EF344">
      <w:start w:val="1"/>
      <w:numFmt w:val="decimal"/>
      <w:lvlText w:val="%1."/>
      <w:lvlJc w:val="left"/>
      <w:pPr>
        <w:tabs>
          <w:tab w:val="num" w:pos="360"/>
        </w:tabs>
        <w:ind w:left="360" w:hanging="360"/>
      </w:pPr>
      <w:rPr>
        <w:rFonts w:hint="default"/>
        <w:b/>
      </w:rPr>
    </w:lvl>
    <w:lvl w:ilvl="1" w:tplc="04090019">
      <w:start w:val="1"/>
      <w:numFmt w:val="lowerLetter"/>
      <w:lvlText w:val="%2."/>
      <w:lvlJc w:val="left"/>
      <w:pPr>
        <w:ind w:left="99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F77B2"/>
    <w:multiLevelType w:val="multilevel"/>
    <w:tmpl w:val="152A295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78541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CF4B36"/>
    <w:multiLevelType w:val="hybridMultilevel"/>
    <w:tmpl w:val="1BA0491C"/>
    <w:lvl w:ilvl="0" w:tplc="08090001">
      <w:start w:val="1"/>
      <w:numFmt w:val="bullet"/>
      <w:lvlText w:val=""/>
      <w:lvlJc w:val="left"/>
      <w:pPr>
        <w:ind w:left="856" w:hanging="360"/>
      </w:pPr>
      <w:rPr>
        <w:rFonts w:ascii="Symbol" w:hAnsi="Symbol" w:hint="default"/>
      </w:rPr>
    </w:lvl>
    <w:lvl w:ilvl="1" w:tplc="08090003" w:tentative="1">
      <w:start w:val="1"/>
      <w:numFmt w:val="bullet"/>
      <w:lvlText w:val="o"/>
      <w:lvlJc w:val="left"/>
      <w:pPr>
        <w:ind w:left="1576" w:hanging="360"/>
      </w:pPr>
      <w:rPr>
        <w:rFonts w:ascii="Courier New" w:hAnsi="Courier New" w:cs="Courier New" w:hint="default"/>
      </w:rPr>
    </w:lvl>
    <w:lvl w:ilvl="2" w:tplc="08090005" w:tentative="1">
      <w:start w:val="1"/>
      <w:numFmt w:val="bullet"/>
      <w:lvlText w:val=""/>
      <w:lvlJc w:val="left"/>
      <w:pPr>
        <w:ind w:left="2296" w:hanging="360"/>
      </w:pPr>
      <w:rPr>
        <w:rFonts w:ascii="Wingdings" w:hAnsi="Wingdings" w:hint="default"/>
      </w:rPr>
    </w:lvl>
    <w:lvl w:ilvl="3" w:tplc="08090001" w:tentative="1">
      <w:start w:val="1"/>
      <w:numFmt w:val="bullet"/>
      <w:lvlText w:val=""/>
      <w:lvlJc w:val="left"/>
      <w:pPr>
        <w:ind w:left="3016" w:hanging="360"/>
      </w:pPr>
      <w:rPr>
        <w:rFonts w:ascii="Symbol" w:hAnsi="Symbol" w:hint="default"/>
      </w:rPr>
    </w:lvl>
    <w:lvl w:ilvl="4" w:tplc="08090003" w:tentative="1">
      <w:start w:val="1"/>
      <w:numFmt w:val="bullet"/>
      <w:lvlText w:val="o"/>
      <w:lvlJc w:val="left"/>
      <w:pPr>
        <w:ind w:left="3736" w:hanging="360"/>
      </w:pPr>
      <w:rPr>
        <w:rFonts w:ascii="Courier New" w:hAnsi="Courier New" w:cs="Courier New" w:hint="default"/>
      </w:rPr>
    </w:lvl>
    <w:lvl w:ilvl="5" w:tplc="08090005" w:tentative="1">
      <w:start w:val="1"/>
      <w:numFmt w:val="bullet"/>
      <w:lvlText w:val=""/>
      <w:lvlJc w:val="left"/>
      <w:pPr>
        <w:ind w:left="4456" w:hanging="360"/>
      </w:pPr>
      <w:rPr>
        <w:rFonts w:ascii="Wingdings" w:hAnsi="Wingdings" w:hint="default"/>
      </w:rPr>
    </w:lvl>
    <w:lvl w:ilvl="6" w:tplc="08090001" w:tentative="1">
      <w:start w:val="1"/>
      <w:numFmt w:val="bullet"/>
      <w:lvlText w:val=""/>
      <w:lvlJc w:val="left"/>
      <w:pPr>
        <w:ind w:left="5176" w:hanging="360"/>
      </w:pPr>
      <w:rPr>
        <w:rFonts w:ascii="Symbol" w:hAnsi="Symbol" w:hint="default"/>
      </w:rPr>
    </w:lvl>
    <w:lvl w:ilvl="7" w:tplc="08090003" w:tentative="1">
      <w:start w:val="1"/>
      <w:numFmt w:val="bullet"/>
      <w:lvlText w:val="o"/>
      <w:lvlJc w:val="left"/>
      <w:pPr>
        <w:ind w:left="5896" w:hanging="360"/>
      </w:pPr>
      <w:rPr>
        <w:rFonts w:ascii="Courier New" w:hAnsi="Courier New" w:cs="Courier New" w:hint="default"/>
      </w:rPr>
    </w:lvl>
    <w:lvl w:ilvl="8" w:tplc="08090005" w:tentative="1">
      <w:start w:val="1"/>
      <w:numFmt w:val="bullet"/>
      <w:lvlText w:val=""/>
      <w:lvlJc w:val="left"/>
      <w:pPr>
        <w:ind w:left="6616" w:hanging="360"/>
      </w:pPr>
      <w:rPr>
        <w:rFonts w:ascii="Wingdings" w:hAnsi="Wingdings" w:hint="default"/>
      </w:rPr>
    </w:lvl>
  </w:abstractNum>
  <w:abstractNum w:abstractNumId="25" w15:restartNumberingAfterBreak="0">
    <w:nsid w:val="6512232E"/>
    <w:multiLevelType w:val="multilevel"/>
    <w:tmpl w:val="58F0808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69D71AF"/>
    <w:multiLevelType w:val="hybridMultilevel"/>
    <w:tmpl w:val="36744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5C47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C16944"/>
    <w:multiLevelType w:val="hybridMultilevel"/>
    <w:tmpl w:val="005AC7C0"/>
    <w:lvl w:ilvl="0" w:tplc="8BA49C20">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9503011">
    <w:abstractNumId w:val="10"/>
  </w:num>
  <w:num w:numId="2" w16cid:durableId="1220629484">
    <w:abstractNumId w:val="23"/>
  </w:num>
  <w:num w:numId="3" w16cid:durableId="1438791549">
    <w:abstractNumId w:val="25"/>
  </w:num>
  <w:num w:numId="4" w16cid:durableId="165484899">
    <w:abstractNumId w:val="6"/>
  </w:num>
  <w:num w:numId="5" w16cid:durableId="1785879183">
    <w:abstractNumId w:val="27"/>
  </w:num>
  <w:num w:numId="6" w16cid:durableId="978343771">
    <w:abstractNumId w:val="16"/>
  </w:num>
  <w:num w:numId="7" w16cid:durableId="740178463">
    <w:abstractNumId w:val="17"/>
  </w:num>
  <w:num w:numId="8" w16cid:durableId="1020819583">
    <w:abstractNumId w:val="26"/>
  </w:num>
  <w:num w:numId="9" w16cid:durableId="32273273">
    <w:abstractNumId w:val="21"/>
  </w:num>
  <w:num w:numId="10" w16cid:durableId="1675766078">
    <w:abstractNumId w:val="9"/>
  </w:num>
  <w:num w:numId="11" w16cid:durableId="1516843879">
    <w:abstractNumId w:val="7"/>
  </w:num>
  <w:num w:numId="12" w16cid:durableId="1602224253">
    <w:abstractNumId w:val="5"/>
  </w:num>
  <w:num w:numId="13" w16cid:durableId="365257885">
    <w:abstractNumId w:val="4"/>
  </w:num>
  <w:num w:numId="14" w16cid:durableId="1432123297">
    <w:abstractNumId w:val="8"/>
  </w:num>
  <w:num w:numId="15" w16cid:durableId="1270700394">
    <w:abstractNumId w:val="19"/>
  </w:num>
  <w:num w:numId="16" w16cid:durableId="1613248841">
    <w:abstractNumId w:val="13"/>
  </w:num>
  <w:num w:numId="17" w16cid:durableId="1939675553">
    <w:abstractNumId w:val="20"/>
  </w:num>
  <w:num w:numId="18" w16cid:durableId="1725330317">
    <w:abstractNumId w:val="12"/>
  </w:num>
  <w:num w:numId="19" w16cid:durableId="1926331223">
    <w:abstractNumId w:val="14"/>
  </w:num>
  <w:num w:numId="20" w16cid:durableId="1870676724">
    <w:abstractNumId w:val="11"/>
  </w:num>
  <w:num w:numId="21" w16cid:durableId="1989479312">
    <w:abstractNumId w:val="28"/>
  </w:num>
  <w:num w:numId="22" w16cid:durableId="983971358">
    <w:abstractNumId w:val="24"/>
  </w:num>
  <w:num w:numId="23" w16cid:durableId="1444031667">
    <w:abstractNumId w:val="18"/>
  </w:num>
  <w:num w:numId="24" w16cid:durableId="1255675798">
    <w:abstractNumId w:val="15"/>
  </w:num>
  <w:num w:numId="25" w16cid:durableId="1887253512">
    <w:abstractNumId w:val="22"/>
  </w:num>
  <w:num w:numId="26" w16cid:durableId="692343428">
    <w:abstractNumId w:val="3"/>
  </w:num>
  <w:num w:numId="27" w16cid:durableId="1949660881">
    <w:abstractNumId w:val="2"/>
  </w:num>
  <w:num w:numId="28" w16cid:durableId="112748031">
    <w:abstractNumId w:val="1"/>
  </w:num>
  <w:num w:numId="29" w16cid:durableId="172598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139"/>
    <w:rsid w:val="000027F2"/>
    <w:rsid w:val="0000486F"/>
    <w:rsid w:val="00007139"/>
    <w:rsid w:val="0002794E"/>
    <w:rsid w:val="00045CA2"/>
    <w:rsid w:val="000473C4"/>
    <w:rsid w:val="00050EE4"/>
    <w:rsid w:val="00051D39"/>
    <w:rsid w:val="00055A9B"/>
    <w:rsid w:val="00064139"/>
    <w:rsid w:val="00065368"/>
    <w:rsid w:val="000661AF"/>
    <w:rsid w:val="00070401"/>
    <w:rsid w:val="00071798"/>
    <w:rsid w:val="000842BC"/>
    <w:rsid w:val="000863F5"/>
    <w:rsid w:val="000A0626"/>
    <w:rsid w:val="000B35B6"/>
    <w:rsid w:val="000C0F2B"/>
    <w:rsid w:val="000C279F"/>
    <w:rsid w:val="000C3FA5"/>
    <w:rsid w:val="000C5711"/>
    <w:rsid w:val="000C6FC3"/>
    <w:rsid w:val="000D0259"/>
    <w:rsid w:val="000D5015"/>
    <w:rsid w:val="000D5FED"/>
    <w:rsid w:val="000E1750"/>
    <w:rsid w:val="000E1B18"/>
    <w:rsid w:val="000F1B69"/>
    <w:rsid w:val="000F5283"/>
    <w:rsid w:val="001203C3"/>
    <w:rsid w:val="00120C75"/>
    <w:rsid w:val="001224E0"/>
    <w:rsid w:val="00123662"/>
    <w:rsid w:val="00125B4A"/>
    <w:rsid w:val="00125DA7"/>
    <w:rsid w:val="00126327"/>
    <w:rsid w:val="0013598D"/>
    <w:rsid w:val="00156A02"/>
    <w:rsid w:val="00162D12"/>
    <w:rsid w:val="00165F80"/>
    <w:rsid w:val="00166235"/>
    <w:rsid w:val="0016767F"/>
    <w:rsid w:val="00170243"/>
    <w:rsid w:val="001747DD"/>
    <w:rsid w:val="001772F4"/>
    <w:rsid w:val="00177FA1"/>
    <w:rsid w:val="001819BE"/>
    <w:rsid w:val="001824CF"/>
    <w:rsid w:val="00184B95"/>
    <w:rsid w:val="00184C2F"/>
    <w:rsid w:val="001878CB"/>
    <w:rsid w:val="0019436D"/>
    <w:rsid w:val="001A60D4"/>
    <w:rsid w:val="001A70AD"/>
    <w:rsid w:val="001B771A"/>
    <w:rsid w:val="001C28E3"/>
    <w:rsid w:val="001E7191"/>
    <w:rsid w:val="001F2B57"/>
    <w:rsid w:val="001F2C3A"/>
    <w:rsid w:val="001F5959"/>
    <w:rsid w:val="001F5B8C"/>
    <w:rsid w:val="00207F61"/>
    <w:rsid w:val="00210869"/>
    <w:rsid w:val="002147C4"/>
    <w:rsid w:val="002243B4"/>
    <w:rsid w:val="00224B03"/>
    <w:rsid w:val="002267BC"/>
    <w:rsid w:val="00226E3C"/>
    <w:rsid w:val="00230819"/>
    <w:rsid w:val="0023483D"/>
    <w:rsid w:val="00234BE0"/>
    <w:rsid w:val="002410FF"/>
    <w:rsid w:val="0024222B"/>
    <w:rsid w:val="002459FC"/>
    <w:rsid w:val="00246C49"/>
    <w:rsid w:val="00247329"/>
    <w:rsid w:val="00253A5E"/>
    <w:rsid w:val="00255FBD"/>
    <w:rsid w:val="00260D49"/>
    <w:rsid w:val="00267DE1"/>
    <w:rsid w:val="00272C8F"/>
    <w:rsid w:val="00273B85"/>
    <w:rsid w:val="00277A9E"/>
    <w:rsid w:val="00277FA9"/>
    <w:rsid w:val="002840E4"/>
    <w:rsid w:val="00290C7E"/>
    <w:rsid w:val="002A0B7E"/>
    <w:rsid w:val="002A1151"/>
    <w:rsid w:val="002A53FA"/>
    <w:rsid w:val="002B0690"/>
    <w:rsid w:val="002B435E"/>
    <w:rsid w:val="002C2527"/>
    <w:rsid w:val="002C5557"/>
    <w:rsid w:val="002C7646"/>
    <w:rsid w:val="002D108A"/>
    <w:rsid w:val="002D37C5"/>
    <w:rsid w:val="002D5A04"/>
    <w:rsid w:val="002D6DE8"/>
    <w:rsid w:val="002E0205"/>
    <w:rsid w:val="002E2DD4"/>
    <w:rsid w:val="002F151A"/>
    <w:rsid w:val="002F3799"/>
    <w:rsid w:val="002F3DF3"/>
    <w:rsid w:val="002F6CBC"/>
    <w:rsid w:val="00300149"/>
    <w:rsid w:val="003047A3"/>
    <w:rsid w:val="0030646C"/>
    <w:rsid w:val="00316149"/>
    <w:rsid w:val="003166A7"/>
    <w:rsid w:val="00316F3A"/>
    <w:rsid w:val="003174AD"/>
    <w:rsid w:val="0032336A"/>
    <w:rsid w:val="00324BCB"/>
    <w:rsid w:val="00326A21"/>
    <w:rsid w:val="00327970"/>
    <w:rsid w:val="00331A4E"/>
    <w:rsid w:val="003333E4"/>
    <w:rsid w:val="003337BF"/>
    <w:rsid w:val="00333A2D"/>
    <w:rsid w:val="00347E7B"/>
    <w:rsid w:val="00354A8B"/>
    <w:rsid w:val="003559C9"/>
    <w:rsid w:val="003609CC"/>
    <w:rsid w:val="00374DFF"/>
    <w:rsid w:val="00376CCB"/>
    <w:rsid w:val="0037742D"/>
    <w:rsid w:val="00381D3B"/>
    <w:rsid w:val="00382745"/>
    <w:rsid w:val="003905B6"/>
    <w:rsid w:val="003917FC"/>
    <w:rsid w:val="003A271C"/>
    <w:rsid w:val="003A34E7"/>
    <w:rsid w:val="003A426C"/>
    <w:rsid w:val="003A601B"/>
    <w:rsid w:val="003B0FCA"/>
    <w:rsid w:val="003B2723"/>
    <w:rsid w:val="003B43A1"/>
    <w:rsid w:val="003B601F"/>
    <w:rsid w:val="003C0D17"/>
    <w:rsid w:val="003C1884"/>
    <w:rsid w:val="003C3496"/>
    <w:rsid w:val="003C5DDA"/>
    <w:rsid w:val="003C61D7"/>
    <w:rsid w:val="003C77EC"/>
    <w:rsid w:val="003D2961"/>
    <w:rsid w:val="003D2B02"/>
    <w:rsid w:val="003D3C21"/>
    <w:rsid w:val="003D3EBE"/>
    <w:rsid w:val="003D522C"/>
    <w:rsid w:val="003E45CA"/>
    <w:rsid w:val="003E5801"/>
    <w:rsid w:val="003E5DF9"/>
    <w:rsid w:val="003F04D0"/>
    <w:rsid w:val="003F1996"/>
    <w:rsid w:val="003F71AF"/>
    <w:rsid w:val="00403CBE"/>
    <w:rsid w:val="00403E8E"/>
    <w:rsid w:val="0040713B"/>
    <w:rsid w:val="004100EF"/>
    <w:rsid w:val="00411AC4"/>
    <w:rsid w:val="004137D2"/>
    <w:rsid w:val="00413C2E"/>
    <w:rsid w:val="004142F9"/>
    <w:rsid w:val="00414367"/>
    <w:rsid w:val="00416994"/>
    <w:rsid w:val="00416D62"/>
    <w:rsid w:val="00425B9A"/>
    <w:rsid w:val="004328C1"/>
    <w:rsid w:val="00453330"/>
    <w:rsid w:val="004563F3"/>
    <w:rsid w:val="00462581"/>
    <w:rsid w:val="00463844"/>
    <w:rsid w:val="00465342"/>
    <w:rsid w:val="00466E4D"/>
    <w:rsid w:val="00471823"/>
    <w:rsid w:val="00475210"/>
    <w:rsid w:val="004758EA"/>
    <w:rsid w:val="00475CA2"/>
    <w:rsid w:val="0047708A"/>
    <w:rsid w:val="004826D4"/>
    <w:rsid w:val="00483972"/>
    <w:rsid w:val="00492ABA"/>
    <w:rsid w:val="00494956"/>
    <w:rsid w:val="00496153"/>
    <w:rsid w:val="00496BB6"/>
    <w:rsid w:val="004B5EDA"/>
    <w:rsid w:val="004C15AE"/>
    <w:rsid w:val="004C16F4"/>
    <w:rsid w:val="004C1921"/>
    <w:rsid w:val="004C3551"/>
    <w:rsid w:val="004C5CEA"/>
    <w:rsid w:val="004D091E"/>
    <w:rsid w:val="004F0AC4"/>
    <w:rsid w:val="004F1797"/>
    <w:rsid w:val="004F4687"/>
    <w:rsid w:val="004F5D46"/>
    <w:rsid w:val="004F6D9D"/>
    <w:rsid w:val="00517CF0"/>
    <w:rsid w:val="00520F66"/>
    <w:rsid w:val="005250C5"/>
    <w:rsid w:val="00527392"/>
    <w:rsid w:val="0053113C"/>
    <w:rsid w:val="00537257"/>
    <w:rsid w:val="0053744D"/>
    <w:rsid w:val="00541B18"/>
    <w:rsid w:val="005432DE"/>
    <w:rsid w:val="00544988"/>
    <w:rsid w:val="005451A7"/>
    <w:rsid w:val="005508AB"/>
    <w:rsid w:val="005508BE"/>
    <w:rsid w:val="00552B7E"/>
    <w:rsid w:val="00554EEE"/>
    <w:rsid w:val="0055698C"/>
    <w:rsid w:val="00557049"/>
    <w:rsid w:val="0056140C"/>
    <w:rsid w:val="00565B80"/>
    <w:rsid w:val="005672B4"/>
    <w:rsid w:val="00580D41"/>
    <w:rsid w:val="00581D15"/>
    <w:rsid w:val="005907E3"/>
    <w:rsid w:val="00591007"/>
    <w:rsid w:val="00591E9A"/>
    <w:rsid w:val="0059250A"/>
    <w:rsid w:val="005939D5"/>
    <w:rsid w:val="00596804"/>
    <w:rsid w:val="005A0619"/>
    <w:rsid w:val="005A1494"/>
    <w:rsid w:val="005A33D3"/>
    <w:rsid w:val="005A35D5"/>
    <w:rsid w:val="005A3E2C"/>
    <w:rsid w:val="005A6D90"/>
    <w:rsid w:val="005B1559"/>
    <w:rsid w:val="005B2ACD"/>
    <w:rsid w:val="005B379D"/>
    <w:rsid w:val="005B42A6"/>
    <w:rsid w:val="005B4FF7"/>
    <w:rsid w:val="005C0807"/>
    <w:rsid w:val="005C31E6"/>
    <w:rsid w:val="005D134E"/>
    <w:rsid w:val="005D68E2"/>
    <w:rsid w:val="005E18CC"/>
    <w:rsid w:val="005E733E"/>
    <w:rsid w:val="005F7F85"/>
    <w:rsid w:val="00600D07"/>
    <w:rsid w:val="00603DB6"/>
    <w:rsid w:val="006073D0"/>
    <w:rsid w:val="0061005B"/>
    <w:rsid w:val="0061315D"/>
    <w:rsid w:val="00613D44"/>
    <w:rsid w:val="00620005"/>
    <w:rsid w:val="00622AC6"/>
    <w:rsid w:val="00622AE7"/>
    <w:rsid w:val="006325FC"/>
    <w:rsid w:val="0063414F"/>
    <w:rsid w:val="006378B9"/>
    <w:rsid w:val="00640A4E"/>
    <w:rsid w:val="0064126E"/>
    <w:rsid w:val="00642637"/>
    <w:rsid w:val="00642DBB"/>
    <w:rsid w:val="00643F5E"/>
    <w:rsid w:val="006468D2"/>
    <w:rsid w:val="00657F4D"/>
    <w:rsid w:val="00661D97"/>
    <w:rsid w:val="00664872"/>
    <w:rsid w:val="006707A2"/>
    <w:rsid w:val="00674926"/>
    <w:rsid w:val="0067516A"/>
    <w:rsid w:val="0068240B"/>
    <w:rsid w:val="00683772"/>
    <w:rsid w:val="00687FA1"/>
    <w:rsid w:val="00691596"/>
    <w:rsid w:val="006A399E"/>
    <w:rsid w:val="006A525D"/>
    <w:rsid w:val="006A56E6"/>
    <w:rsid w:val="006A60A8"/>
    <w:rsid w:val="006B1906"/>
    <w:rsid w:val="006B40B2"/>
    <w:rsid w:val="006B5567"/>
    <w:rsid w:val="006B611F"/>
    <w:rsid w:val="006B69AD"/>
    <w:rsid w:val="006C0207"/>
    <w:rsid w:val="006C5B16"/>
    <w:rsid w:val="006D26A2"/>
    <w:rsid w:val="006D4FD7"/>
    <w:rsid w:val="006E2FF7"/>
    <w:rsid w:val="006E4A90"/>
    <w:rsid w:val="006E62D0"/>
    <w:rsid w:val="006F1D91"/>
    <w:rsid w:val="006F205D"/>
    <w:rsid w:val="006F21FC"/>
    <w:rsid w:val="006F2CCE"/>
    <w:rsid w:val="006F3D29"/>
    <w:rsid w:val="006F3E26"/>
    <w:rsid w:val="006F4617"/>
    <w:rsid w:val="006F4877"/>
    <w:rsid w:val="006F7414"/>
    <w:rsid w:val="00710DE5"/>
    <w:rsid w:val="00713313"/>
    <w:rsid w:val="00713A9F"/>
    <w:rsid w:val="00714BE0"/>
    <w:rsid w:val="0071529A"/>
    <w:rsid w:val="00715711"/>
    <w:rsid w:val="007176AE"/>
    <w:rsid w:val="00721883"/>
    <w:rsid w:val="007317E4"/>
    <w:rsid w:val="00732073"/>
    <w:rsid w:val="007353DE"/>
    <w:rsid w:val="007457CE"/>
    <w:rsid w:val="00746F00"/>
    <w:rsid w:val="00752766"/>
    <w:rsid w:val="00763D23"/>
    <w:rsid w:val="00771FB8"/>
    <w:rsid w:val="00773425"/>
    <w:rsid w:val="0078191C"/>
    <w:rsid w:val="0078795C"/>
    <w:rsid w:val="00792C64"/>
    <w:rsid w:val="0079309A"/>
    <w:rsid w:val="007A085C"/>
    <w:rsid w:val="007A15F9"/>
    <w:rsid w:val="007B0489"/>
    <w:rsid w:val="007B205E"/>
    <w:rsid w:val="007B33F3"/>
    <w:rsid w:val="007B496F"/>
    <w:rsid w:val="007B69B0"/>
    <w:rsid w:val="007B7F3E"/>
    <w:rsid w:val="007C72F5"/>
    <w:rsid w:val="007D04D8"/>
    <w:rsid w:val="007D12CD"/>
    <w:rsid w:val="007D2C8F"/>
    <w:rsid w:val="007D5E6D"/>
    <w:rsid w:val="007D5FB9"/>
    <w:rsid w:val="007E1133"/>
    <w:rsid w:val="007E6808"/>
    <w:rsid w:val="007E72E8"/>
    <w:rsid w:val="007E7C6F"/>
    <w:rsid w:val="007F1C8E"/>
    <w:rsid w:val="007F20BE"/>
    <w:rsid w:val="007F2804"/>
    <w:rsid w:val="007F5678"/>
    <w:rsid w:val="00810268"/>
    <w:rsid w:val="008119D3"/>
    <w:rsid w:val="0081779D"/>
    <w:rsid w:val="00821631"/>
    <w:rsid w:val="008220E0"/>
    <w:rsid w:val="008228D0"/>
    <w:rsid w:val="00823229"/>
    <w:rsid w:val="00826C17"/>
    <w:rsid w:val="00831087"/>
    <w:rsid w:val="008324F7"/>
    <w:rsid w:val="0084070C"/>
    <w:rsid w:val="00841263"/>
    <w:rsid w:val="0084230F"/>
    <w:rsid w:val="008429BE"/>
    <w:rsid w:val="008436CF"/>
    <w:rsid w:val="008442DD"/>
    <w:rsid w:val="00844685"/>
    <w:rsid w:val="00846620"/>
    <w:rsid w:val="00847352"/>
    <w:rsid w:val="00847B1A"/>
    <w:rsid w:val="008537CF"/>
    <w:rsid w:val="008541DF"/>
    <w:rsid w:val="00860370"/>
    <w:rsid w:val="008625E9"/>
    <w:rsid w:val="008628BE"/>
    <w:rsid w:val="008659BF"/>
    <w:rsid w:val="0087456C"/>
    <w:rsid w:val="00874CDC"/>
    <w:rsid w:val="0087659F"/>
    <w:rsid w:val="0087699B"/>
    <w:rsid w:val="00877E95"/>
    <w:rsid w:val="00882DD7"/>
    <w:rsid w:val="008830FE"/>
    <w:rsid w:val="008844FE"/>
    <w:rsid w:val="00884C08"/>
    <w:rsid w:val="0089333E"/>
    <w:rsid w:val="008938EA"/>
    <w:rsid w:val="00893917"/>
    <w:rsid w:val="00894DDC"/>
    <w:rsid w:val="008A00E3"/>
    <w:rsid w:val="008A1A62"/>
    <w:rsid w:val="008A2B56"/>
    <w:rsid w:val="008A67CA"/>
    <w:rsid w:val="008B31CC"/>
    <w:rsid w:val="008B4711"/>
    <w:rsid w:val="008C1057"/>
    <w:rsid w:val="008D0E72"/>
    <w:rsid w:val="008D195A"/>
    <w:rsid w:val="008D6FF6"/>
    <w:rsid w:val="008E2E22"/>
    <w:rsid w:val="008F2782"/>
    <w:rsid w:val="008F53B7"/>
    <w:rsid w:val="008F78C3"/>
    <w:rsid w:val="00901B88"/>
    <w:rsid w:val="00903595"/>
    <w:rsid w:val="00912ED0"/>
    <w:rsid w:val="00917C1E"/>
    <w:rsid w:val="0093072B"/>
    <w:rsid w:val="0093535F"/>
    <w:rsid w:val="00941C69"/>
    <w:rsid w:val="009442A7"/>
    <w:rsid w:val="00945169"/>
    <w:rsid w:val="0095267C"/>
    <w:rsid w:val="009531A6"/>
    <w:rsid w:val="009561DD"/>
    <w:rsid w:val="0096161A"/>
    <w:rsid w:val="0096265E"/>
    <w:rsid w:val="00963FF9"/>
    <w:rsid w:val="0096595D"/>
    <w:rsid w:val="00965DF2"/>
    <w:rsid w:val="00967721"/>
    <w:rsid w:val="0097294C"/>
    <w:rsid w:val="00973AAD"/>
    <w:rsid w:val="00980A34"/>
    <w:rsid w:val="00984BFA"/>
    <w:rsid w:val="00984E78"/>
    <w:rsid w:val="0098513A"/>
    <w:rsid w:val="009A787C"/>
    <w:rsid w:val="009A7CD3"/>
    <w:rsid w:val="009B38D2"/>
    <w:rsid w:val="009B646F"/>
    <w:rsid w:val="009C5F34"/>
    <w:rsid w:val="009D2A6A"/>
    <w:rsid w:val="009F266B"/>
    <w:rsid w:val="00A01DA3"/>
    <w:rsid w:val="00A04EDF"/>
    <w:rsid w:val="00A07CFE"/>
    <w:rsid w:val="00A07E46"/>
    <w:rsid w:val="00A12050"/>
    <w:rsid w:val="00A16501"/>
    <w:rsid w:val="00A24170"/>
    <w:rsid w:val="00A246B3"/>
    <w:rsid w:val="00A2770C"/>
    <w:rsid w:val="00A359B6"/>
    <w:rsid w:val="00A421AC"/>
    <w:rsid w:val="00A444C6"/>
    <w:rsid w:val="00A53348"/>
    <w:rsid w:val="00A5548B"/>
    <w:rsid w:val="00A5621B"/>
    <w:rsid w:val="00A67185"/>
    <w:rsid w:val="00A67AA2"/>
    <w:rsid w:val="00A70C4D"/>
    <w:rsid w:val="00A72599"/>
    <w:rsid w:val="00A82380"/>
    <w:rsid w:val="00A824FC"/>
    <w:rsid w:val="00A8319A"/>
    <w:rsid w:val="00A942F6"/>
    <w:rsid w:val="00A954F2"/>
    <w:rsid w:val="00AA07D1"/>
    <w:rsid w:val="00AA299B"/>
    <w:rsid w:val="00AA49AC"/>
    <w:rsid w:val="00AA5121"/>
    <w:rsid w:val="00AB2A6A"/>
    <w:rsid w:val="00AB58C1"/>
    <w:rsid w:val="00AB7E55"/>
    <w:rsid w:val="00AC3EA1"/>
    <w:rsid w:val="00AC5022"/>
    <w:rsid w:val="00AC5880"/>
    <w:rsid w:val="00AC67DE"/>
    <w:rsid w:val="00AC7978"/>
    <w:rsid w:val="00AD21B8"/>
    <w:rsid w:val="00AD4E28"/>
    <w:rsid w:val="00AD6E07"/>
    <w:rsid w:val="00AE36AE"/>
    <w:rsid w:val="00AE7100"/>
    <w:rsid w:val="00AE7998"/>
    <w:rsid w:val="00AF204F"/>
    <w:rsid w:val="00AF6B9C"/>
    <w:rsid w:val="00B0026E"/>
    <w:rsid w:val="00B02C9E"/>
    <w:rsid w:val="00B03657"/>
    <w:rsid w:val="00B0518D"/>
    <w:rsid w:val="00B122B6"/>
    <w:rsid w:val="00B12D6F"/>
    <w:rsid w:val="00B20590"/>
    <w:rsid w:val="00B2355B"/>
    <w:rsid w:val="00B25265"/>
    <w:rsid w:val="00B260FA"/>
    <w:rsid w:val="00B37A2B"/>
    <w:rsid w:val="00B4156E"/>
    <w:rsid w:val="00B43BCE"/>
    <w:rsid w:val="00B44B9F"/>
    <w:rsid w:val="00B44C99"/>
    <w:rsid w:val="00B46A93"/>
    <w:rsid w:val="00B53B15"/>
    <w:rsid w:val="00B607C8"/>
    <w:rsid w:val="00B61725"/>
    <w:rsid w:val="00B62507"/>
    <w:rsid w:val="00B73D6C"/>
    <w:rsid w:val="00B816DF"/>
    <w:rsid w:val="00B81751"/>
    <w:rsid w:val="00B84455"/>
    <w:rsid w:val="00B86913"/>
    <w:rsid w:val="00B967A2"/>
    <w:rsid w:val="00B974F7"/>
    <w:rsid w:val="00BA0388"/>
    <w:rsid w:val="00BA1672"/>
    <w:rsid w:val="00BB5F09"/>
    <w:rsid w:val="00BC0029"/>
    <w:rsid w:val="00BC0472"/>
    <w:rsid w:val="00BC3F0A"/>
    <w:rsid w:val="00BC53C6"/>
    <w:rsid w:val="00BC5449"/>
    <w:rsid w:val="00BC6167"/>
    <w:rsid w:val="00BD0A21"/>
    <w:rsid w:val="00BD45FF"/>
    <w:rsid w:val="00BE1A73"/>
    <w:rsid w:val="00BE5040"/>
    <w:rsid w:val="00BE5CB8"/>
    <w:rsid w:val="00BE70D1"/>
    <w:rsid w:val="00BF4696"/>
    <w:rsid w:val="00BF5018"/>
    <w:rsid w:val="00BF50AE"/>
    <w:rsid w:val="00BF69DD"/>
    <w:rsid w:val="00C00724"/>
    <w:rsid w:val="00C01740"/>
    <w:rsid w:val="00C07E3B"/>
    <w:rsid w:val="00C10089"/>
    <w:rsid w:val="00C14404"/>
    <w:rsid w:val="00C17437"/>
    <w:rsid w:val="00C176D3"/>
    <w:rsid w:val="00C23362"/>
    <w:rsid w:val="00C265BA"/>
    <w:rsid w:val="00C37C00"/>
    <w:rsid w:val="00C43424"/>
    <w:rsid w:val="00C44856"/>
    <w:rsid w:val="00C46F87"/>
    <w:rsid w:val="00C47806"/>
    <w:rsid w:val="00C5280B"/>
    <w:rsid w:val="00C54060"/>
    <w:rsid w:val="00C54D6B"/>
    <w:rsid w:val="00C55204"/>
    <w:rsid w:val="00C64616"/>
    <w:rsid w:val="00C66638"/>
    <w:rsid w:val="00C66FB1"/>
    <w:rsid w:val="00C707D4"/>
    <w:rsid w:val="00C726E7"/>
    <w:rsid w:val="00C72FAB"/>
    <w:rsid w:val="00C75866"/>
    <w:rsid w:val="00C803BD"/>
    <w:rsid w:val="00C81DD9"/>
    <w:rsid w:val="00C9465D"/>
    <w:rsid w:val="00C97B93"/>
    <w:rsid w:val="00CA13B7"/>
    <w:rsid w:val="00CA17E1"/>
    <w:rsid w:val="00CA1FA9"/>
    <w:rsid w:val="00CB1600"/>
    <w:rsid w:val="00CD3956"/>
    <w:rsid w:val="00CE32E5"/>
    <w:rsid w:val="00CE5A01"/>
    <w:rsid w:val="00CE714E"/>
    <w:rsid w:val="00CE7D56"/>
    <w:rsid w:val="00CF5B1D"/>
    <w:rsid w:val="00D001D8"/>
    <w:rsid w:val="00D06CE8"/>
    <w:rsid w:val="00D100D9"/>
    <w:rsid w:val="00D1427A"/>
    <w:rsid w:val="00D14661"/>
    <w:rsid w:val="00D20A3F"/>
    <w:rsid w:val="00D24644"/>
    <w:rsid w:val="00D35FC7"/>
    <w:rsid w:val="00D37272"/>
    <w:rsid w:val="00D40484"/>
    <w:rsid w:val="00D40FF4"/>
    <w:rsid w:val="00D43CE8"/>
    <w:rsid w:val="00D54771"/>
    <w:rsid w:val="00D550AB"/>
    <w:rsid w:val="00D56B88"/>
    <w:rsid w:val="00D578B1"/>
    <w:rsid w:val="00D61EED"/>
    <w:rsid w:val="00D61F2B"/>
    <w:rsid w:val="00D646C8"/>
    <w:rsid w:val="00D679BC"/>
    <w:rsid w:val="00D71C87"/>
    <w:rsid w:val="00D71F7A"/>
    <w:rsid w:val="00D748A1"/>
    <w:rsid w:val="00D84EDF"/>
    <w:rsid w:val="00D84F10"/>
    <w:rsid w:val="00D86D7C"/>
    <w:rsid w:val="00D8744E"/>
    <w:rsid w:val="00D87458"/>
    <w:rsid w:val="00D90A85"/>
    <w:rsid w:val="00D91CCC"/>
    <w:rsid w:val="00D926B4"/>
    <w:rsid w:val="00D94CC4"/>
    <w:rsid w:val="00D94FAA"/>
    <w:rsid w:val="00DA436E"/>
    <w:rsid w:val="00DB0BFA"/>
    <w:rsid w:val="00DB6413"/>
    <w:rsid w:val="00DC693F"/>
    <w:rsid w:val="00DD062D"/>
    <w:rsid w:val="00DD20EA"/>
    <w:rsid w:val="00DE3A75"/>
    <w:rsid w:val="00DE48E3"/>
    <w:rsid w:val="00DE5632"/>
    <w:rsid w:val="00DF1322"/>
    <w:rsid w:val="00DF2484"/>
    <w:rsid w:val="00DF2990"/>
    <w:rsid w:val="00DF4516"/>
    <w:rsid w:val="00DF4F0A"/>
    <w:rsid w:val="00E00B32"/>
    <w:rsid w:val="00E047F4"/>
    <w:rsid w:val="00E05474"/>
    <w:rsid w:val="00E06141"/>
    <w:rsid w:val="00E07102"/>
    <w:rsid w:val="00E1461B"/>
    <w:rsid w:val="00E201E6"/>
    <w:rsid w:val="00E20296"/>
    <w:rsid w:val="00E21638"/>
    <w:rsid w:val="00E22572"/>
    <w:rsid w:val="00E3058C"/>
    <w:rsid w:val="00E318E6"/>
    <w:rsid w:val="00E31F6B"/>
    <w:rsid w:val="00E33530"/>
    <w:rsid w:val="00E3397D"/>
    <w:rsid w:val="00E34A0E"/>
    <w:rsid w:val="00E37212"/>
    <w:rsid w:val="00E401FE"/>
    <w:rsid w:val="00E40699"/>
    <w:rsid w:val="00E4229D"/>
    <w:rsid w:val="00E426D3"/>
    <w:rsid w:val="00E42BE9"/>
    <w:rsid w:val="00E54C4D"/>
    <w:rsid w:val="00E54CDE"/>
    <w:rsid w:val="00E56798"/>
    <w:rsid w:val="00E6021C"/>
    <w:rsid w:val="00E60239"/>
    <w:rsid w:val="00E62381"/>
    <w:rsid w:val="00E664B3"/>
    <w:rsid w:val="00E70F13"/>
    <w:rsid w:val="00E71965"/>
    <w:rsid w:val="00E71E86"/>
    <w:rsid w:val="00E87634"/>
    <w:rsid w:val="00E92AE2"/>
    <w:rsid w:val="00EA1920"/>
    <w:rsid w:val="00EA2F3D"/>
    <w:rsid w:val="00EA727D"/>
    <w:rsid w:val="00EB26BA"/>
    <w:rsid w:val="00EB311E"/>
    <w:rsid w:val="00EB3F9A"/>
    <w:rsid w:val="00EB5F33"/>
    <w:rsid w:val="00EB73C0"/>
    <w:rsid w:val="00EC3B49"/>
    <w:rsid w:val="00EC48A8"/>
    <w:rsid w:val="00EC5F88"/>
    <w:rsid w:val="00EC65B3"/>
    <w:rsid w:val="00ED0596"/>
    <w:rsid w:val="00ED1550"/>
    <w:rsid w:val="00ED3263"/>
    <w:rsid w:val="00ED65F1"/>
    <w:rsid w:val="00EE05C3"/>
    <w:rsid w:val="00EE2B5C"/>
    <w:rsid w:val="00EE3CEC"/>
    <w:rsid w:val="00EE676D"/>
    <w:rsid w:val="00EF0793"/>
    <w:rsid w:val="00EF0D14"/>
    <w:rsid w:val="00EF188F"/>
    <w:rsid w:val="00EF1F10"/>
    <w:rsid w:val="00EF3678"/>
    <w:rsid w:val="00EF7D29"/>
    <w:rsid w:val="00F001CD"/>
    <w:rsid w:val="00F02E54"/>
    <w:rsid w:val="00F0469A"/>
    <w:rsid w:val="00F06058"/>
    <w:rsid w:val="00F1484F"/>
    <w:rsid w:val="00F15D08"/>
    <w:rsid w:val="00F1650A"/>
    <w:rsid w:val="00F22F9D"/>
    <w:rsid w:val="00F26E27"/>
    <w:rsid w:val="00F306C8"/>
    <w:rsid w:val="00F337E4"/>
    <w:rsid w:val="00F33C70"/>
    <w:rsid w:val="00F33FAE"/>
    <w:rsid w:val="00F36201"/>
    <w:rsid w:val="00F3640D"/>
    <w:rsid w:val="00F36497"/>
    <w:rsid w:val="00F40B20"/>
    <w:rsid w:val="00F45F80"/>
    <w:rsid w:val="00F50A22"/>
    <w:rsid w:val="00F60497"/>
    <w:rsid w:val="00F61C72"/>
    <w:rsid w:val="00F63F41"/>
    <w:rsid w:val="00F650BE"/>
    <w:rsid w:val="00F66835"/>
    <w:rsid w:val="00F72021"/>
    <w:rsid w:val="00F731F2"/>
    <w:rsid w:val="00F7421D"/>
    <w:rsid w:val="00F744DD"/>
    <w:rsid w:val="00F94AD9"/>
    <w:rsid w:val="00F94E73"/>
    <w:rsid w:val="00F9568D"/>
    <w:rsid w:val="00F97454"/>
    <w:rsid w:val="00FA2756"/>
    <w:rsid w:val="00FA64A4"/>
    <w:rsid w:val="00FB05A8"/>
    <w:rsid w:val="00FB0F71"/>
    <w:rsid w:val="00FB421D"/>
    <w:rsid w:val="00FC0C45"/>
    <w:rsid w:val="00FC4957"/>
    <w:rsid w:val="00FC5CB6"/>
    <w:rsid w:val="00FC7481"/>
    <w:rsid w:val="00FD0655"/>
    <w:rsid w:val="00FD18AF"/>
    <w:rsid w:val="00FD2ACD"/>
    <w:rsid w:val="00FD54A2"/>
    <w:rsid w:val="00FE0034"/>
    <w:rsid w:val="00FE1D36"/>
    <w:rsid w:val="00FE4E9A"/>
    <w:rsid w:val="00FE6E18"/>
    <w:rsid w:val="00FE7C0E"/>
    <w:rsid w:val="00FF3C31"/>
    <w:rsid w:val="00FF3CC5"/>
    <w:rsid w:val="00FF4E2D"/>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EDD25"/>
  <w15:chartTrackingRefBased/>
  <w15:docId w15:val="{699758EB-2368-481D-BAB7-27D97BBB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B6"/>
  </w:style>
  <w:style w:type="paragraph" w:styleId="Heading1">
    <w:name w:val="heading 1"/>
    <w:basedOn w:val="Normal"/>
    <w:link w:val="Heading1Char"/>
    <w:uiPriority w:val="9"/>
    <w:qFormat/>
    <w:rsid w:val="00007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ee-node-step-prefix">
    <w:name w:val="tree-node-step-prefix"/>
    <w:basedOn w:val="Normal"/>
    <w:rsid w:val="000071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7139"/>
    <w:rPr>
      <w:color w:val="0000FF"/>
      <w:u w:val="single"/>
    </w:rPr>
  </w:style>
  <w:style w:type="paragraph" w:styleId="NormalWeb">
    <w:name w:val="Normal (Web)"/>
    <w:basedOn w:val="Normal"/>
    <w:uiPriority w:val="99"/>
    <w:unhideWhenUsed/>
    <w:rsid w:val="000071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139"/>
    <w:rPr>
      <w:b/>
      <w:bCs/>
    </w:rPr>
  </w:style>
  <w:style w:type="character" w:styleId="LineNumber">
    <w:name w:val="line number"/>
    <w:basedOn w:val="DefaultParagraphFont"/>
    <w:uiPriority w:val="99"/>
    <w:semiHidden/>
    <w:unhideWhenUsed/>
    <w:rsid w:val="00520F66"/>
    <w:rPr>
      <w:color w:val="7F7F7F" w:themeColor="text1" w:themeTint="80"/>
      <w:sz w:val="16"/>
    </w:rPr>
  </w:style>
  <w:style w:type="paragraph" w:styleId="Header">
    <w:name w:val="header"/>
    <w:basedOn w:val="Normal"/>
    <w:link w:val="HeaderChar"/>
    <w:uiPriority w:val="99"/>
    <w:unhideWhenUsed/>
    <w:rsid w:val="00007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139"/>
  </w:style>
  <w:style w:type="paragraph" w:styleId="Footer">
    <w:name w:val="footer"/>
    <w:basedOn w:val="Normal"/>
    <w:link w:val="FooterChar"/>
    <w:uiPriority w:val="99"/>
    <w:unhideWhenUsed/>
    <w:rsid w:val="00007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139"/>
  </w:style>
  <w:style w:type="character" w:customStyle="1" w:styleId="Heading1Char">
    <w:name w:val="Heading 1 Char"/>
    <w:basedOn w:val="DefaultParagraphFont"/>
    <w:link w:val="Heading1"/>
    <w:uiPriority w:val="9"/>
    <w:rsid w:val="00007139"/>
    <w:rPr>
      <w:rFonts w:ascii="Times New Roman" w:eastAsia="Times New Roman" w:hAnsi="Times New Roman" w:cs="Times New Roman"/>
      <w:b/>
      <w:bCs/>
      <w:kern w:val="36"/>
      <w:sz w:val="48"/>
      <w:szCs w:val="48"/>
    </w:rPr>
  </w:style>
  <w:style w:type="character" w:customStyle="1" w:styleId="name">
    <w:name w:val="name"/>
    <w:basedOn w:val="DefaultParagraphFont"/>
    <w:rsid w:val="00007139"/>
  </w:style>
  <w:style w:type="character" w:styleId="Emphasis">
    <w:name w:val="Emphasis"/>
    <w:basedOn w:val="DefaultParagraphFont"/>
    <w:uiPriority w:val="20"/>
    <w:qFormat/>
    <w:rsid w:val="0078795C"/>
    <w:rPr>
      <w:i/>
      <w:iCs/>
    </w:rPr>
  </w:style>
  <w:style w:type="character" w:styleId="CommentReference">
    <w:name w:val="annotation reference"/>
    <w:basedOn w:val="DefaultParagraphFont"/>
    <w:uiPriority w:val="99"/>
    <w:semiHidden/>
    <w:unhideWhenUsed/>
    <w:rsid w:val="0081779D"/>
    <w:rPr>
      <w:sz w:val="16"/>
      <w:szCs w:val="16"/>
    </w:rPr>
  </w:style>
  <w:style w:type="paragraph" w:styleId="CommentText">
    <w:name w:val="annotation text"/>
    <w:basedOn w:val="Normal"/>
    <w:link w:val="CommentTextChar"/>
    <w:uiPriority w:val="99"/>
    <w:semiHidden/>
    <w:unhideWhenUsed/>
    <w:rsid w:val="0081779D"/>
    <w:pPr>
      <w:spacing w:line="240" w:lineRule="auto"/>
    </w:pPr>
    <w:rPr>
      <w:sz w:val="20"/>
      <w:szCs w:val="20"/>
    </w:rPr>
  </w:style>
  <w:style w:type="character" w:customStyle="1" w:styleId="CommentTextChar">
    <w:name w:val="Comment Text Char"/>
    <w:basedOn w:val="DefaultParagraphFont"/>
    <w:link w:val="CommentText"/>
    <w:uiPriority w:val="99"/>
    <w:semiHidden/>
    <w:rsid w:val="0081779D"/>
    <w:rPr>
      <w:sz w:val="20"/>
      <w:szCs w:val="20"/>
    </w:rPr>
  </w:style>
  <w:style w:type="paragraph" w:styleId="BalloonText">
    <w:name w:val="Balloon Text"/>
    <w:basedOn w:val="Normal"/>
    <w:link w:val="BalloonTextChar"/>
    <w:uiPriority w:val="99"/>
    <w:semiHidden/>
    <w:unhideWhenUsed/>
    <w:rsid w:val="008177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9D"/>
    <w:rPr>
      <w:rFonts w:ascii="Segoe UI" w:hAnsi="Segoe UI" w:cs="Segoe UI"/>
      <w:sz w:val="18"/>
      <w:szCs w:val="18"/>
    </w:rPr>
  </w:style>
  <w:style w:type="paragraph" w:styleId="ListParagraph">
    <w:name w:val="List Paragraph"/>
    <w:aliases w:val="Bullet Paragraph,Medium Grid 1 - Accent 21,FooterText,List Paragraph1,numbered,Paragraphe de liste1,列出段落,列出段落1,Bulletr List Paragraph,List Paragraph2,List Paragraph21,Parágrafo da Lista1,Párrafo de lista1,Listeafsnit1,リスト段落1,Bullet List"/>
    <w:basedOn w:val="Normal"/>
    <w:link w:val="ListParagraphChar"/>
    <w:uiPriority w:val="34"/>
    <w:qFormat/>
    <w:rsid w:val="00D578B1"/>
    <w:pPr>
      <w:ind w:left="720"/>
      <w:contextualSpacing/>
    </w:pPr>
  </w:style>
  <w:style w:type="paragraph" w:styleId="CommentSubject">
    <w:name w:val="annotation subject"/>
    <w:basedOn w:val="CommentText"/>
    <w:next w:val="CommentText"/>
    <w:link w:val="CommentSubjectChar"/>
    <w:uiPriority w:val="99"/>
    <w:semiHidden/>
    <w:unhideWhenUsed/>
    <w:rsid w:val="00E6021C"/>
    <w:rPr>
      <w:b/>
      <w:bCs/>
    </w:rPr>
  </w:style>
  <w:style w:type="character" w:customStyle="1" w:styleId="CommentSubjectChar">
    <w:name w:val="Comment Subject Char"/>
    <w:basedOn w:val="CommentTextChar"/>
    <w:link w:val="CommentSubject"/>
    <w:uiPriority w:val="99"/>
    <w:semiHidden/>
    <w:rsid w:val="00E6021C"/>
    <w:rPr>
      <w:b/>
      <w:bCs/>
      <w:sz w:val="20"/>
      <w:szCs w:val="20"/>
    </w:rPr>
  </w:style>
  <w:style w:type="character" w:styleId="FollowedHyperlink">
    <w:name w:val="FollowedHyperlink"/>
    <w:basedOn w:val="DefaultParagraphFont"/>
    <w:uiPriority w:val="99"/>
    <w:semiHidden/>
    <w:unhideWhenUsed/>
    <w:rsid w:val="005508AB"/>
    <w:rPr>
      <w:color w:val="954F72" w:themeColor="followedHyperlink"/>
      <w:u w:val="single"/>
    </w:rPr>
  </w:style>
  <w:style w:type="table" w:styleId="TableGrid">
    <w:name w:val="Table Grid"/>
    <w:basedOn w:val="TableNormal"/>
    <w:uiPriority w:val="39"/>
    <w:rsid w:val="00125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Paragraph Char,Medium Grid 1 - Accent 21 Char,FooterText Char,List Paragraph1 Char,numbered Char,Paragraphe de liste1 Char,列出段落 Char,列出段落1 Char,Bulletr List Paragraph Char,List Paragraph2 Char,List Paragraph21 Char,リスト段落1 Char"/>
    <w:basedOn w:val="DefaultParagraphFont"/>
    <w:link w:val="ListParagraph"/>
    <w:uiPriority w:val="34"/>
    <w:rsid w:val="006A399E"/>
  </w:style>
  <w:style w:type="paragraph" w:styleId="Revision">
    <w:name w:val="Revision"/>
    <w:hidden/>
    <w:uiPriority w:val="99"/>
    <w:semiHidden/>
    <w:rsid w:val="00664872"/>
    <w:pPr>
      <w:spacing w:after="0" w:line="240" w:lineRule="auto"/>
    </w:pPr>
  </w:style>
  <w:style w:type="paragraph" w:styleId="FootnoteText">
    <w:name w:val="footnote text"/>
    <w:basedOn w:val="Normal"/>
    <w:link w:val="FootnoteTextChar"/>
    <w:uiPriority w:val="99"/>
    <w:semiHidden/>
    <w:unhideWhenUsed/>
    <w:rsid w:val="00BE1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1A73"/>
    <w:rPr>
      <w:sz w:val="20"/>
      <w:szCs w:val="20"/>
    </w:rPr>
  </w:style>
  <w:style w:type="character" w:styleId="FootnoteReference">
    <w:name w:val="footnote reference"/>
    <w:basedOn w:val="DefaultParagraphFont"/>
    <w:uiPriority w:val="99"/>
    <w:semiHidden/>
    <w:unhideWhenUsed/>
    <w:rsid w:val="00BE1A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325">
      <w:bodyDiv w:val="1"/>
      <w:marLeft w:val="0"/>
      <w:marRight w:val="0"/>
      <w:marTop w:val="0"/>
      <w:marBottom w:val="0"/>
      <w:divBdr>
        <w:top w:val="none" w:sz="0" w:space="0" w:color="auto"/>
        <w:left w:val="none" w:sz="0" w:space="0" w:color="auto"/>
        <w:bottom w:val="none" w:sz="0" w:space="0" w:color="auto"/>
        <w:right w:val="none" w:sz="0" w:space="0" w:color="auto"/>
      </w:divBdr>
    </w:div>
    <w:div w:id="155725868">
      <w:bodyDiv w:val="1"/>
      <w:marLeft w:val="0"/>
      <w:marRight w:val="0"/>
      <w:marTop w:val="0"/>
      <w:marBottom w:val="0"/>
      <w:divBdr>
        <w:top w:val="none" w:sz="0" w:space="0" w:color="auto"/>
        <w:left w:val="none" w:sz="0" w:space="0" w:color="auto"/>
        <w:bottom w:val="none" w:sz="0" w:space="0" w:color="auto"/>
        <w:right w:val="none" w:sz="0" w:space="0" w:color="auto"/>
      </w:divBdr>
    </w:div>
    <w:div w:id="173610899">
      <w:bodyDiv w:val="1"/>
      <w:marLeft w:val="0"/>
      <w:marRight w:val="0"/>
      <w:marTop w:val="0"/>
      <w:marBottom w:val="0"/>
      <w:divBdr>
        <w:top w:val="none" w:sz="0" w:space="0" w:color="auto"/>
        <w:left w:val="none" w:sz="0" w:space="0" w:color="auto"/>
        <w:bottom w:val="none" w:sz="0" w:space="0" w:color="auto"/>
        <w:right w:val="none" w:sz="0" w:space="0" w:color="auto"/>
      </w:divBdr>
    </w:div>
    <w:div w:id="274101655">
      <w:bodyDiv w:val="1"/>
      <w:marLeft w:val="0"/>
      <w:marRight w:val="0"/>
      <w:marTop w:val="0"/>
      <w:marBottom w:val="0"/>
      <w:divBdr>
        <w:top w:val="none" w:sz="0" w:space="0" w:color="auto"/>
        <w:left w:val="none" w:sz="0" w:space="0" w:color="auto"/>
        <w:bottom w:val="none" w:sz="0" w:space="0" w:color="auto"/>
        <w:right w:val="none" w:sz="0" w:space="0" w:color="auto"/>
      </w:divBdr>
    </w:div>
    <w:div w:id="372273789">
      <w:bodyDiv w:val="1"/>
      <w:marLeft w:val="0"/>
      <w:marRight w:val="0"/>
      <w:marTop w:val="0"/>
      <w:marBottom w:val="0"/>
      <w:divBdr>
        <w:top w:val="none" w:sz="0" w:space="0" w:color="auto"/>
        <w:left w:val="none" w:sz="0" w:space="0" w:color="auto"/>
        <w:bottom w:val="none" w:sz="0" w:space="0" w:color="auto"/>
        <w:right w:val="none" w:sz="0" w:space="0" w:color="auto"/>
      </w:divBdr>
    </w:div>
    <w:div w:id="433325629">
      <w:bodyDiv w:val="1"/>
      <w:marLeft w:val="0"/>
      <w:marRight w:val="0"/>
      <w:marTop w:val="0"/>
      <w:marBottom w:val="0"/>
      <w:divBdr>
        <w:top w:val="none" w:sz="0" w:space="0" w:color="auto"/>
        <w:left w:val="none" w:sz="0" w:space="0" w:color="auto"/>
        <w:bottom w:val="none" w:sz="0" w:space="0" w:color="auto"/>
        <w:right w:val="none" w:sz="0" w:space="0" w:color="auto"/>
      </w:divBdr>
    </w:div>
    <w:div w:id="456417969">
      <w:bodyDiv w:val="1"/>
      <w:marLeft w:val="0"/>
      <w:marRight w:val="0"/>
      <w:marTop w:val="0"/>
      <w:marBottom w:val="0"/>
      <w:divBdr>
        <w:top w:val="none" w:sz="0" w:space="0" w:color="auto"/>
        <w:left w:val="none" w:sz="0" w:space="0" w:color="auto"/>
        <w:bottom w:val="none" w:sz="0" w:space="0" w:color="auto"/>
        <w:right w:val="none" w:sz="0" w:space="0" w:color="auto"/>
      </w:divBdr>
    </w:div>
    <w:div w:id="496962169">
      <w:bodyDiv w:val="1"/>
      <w:marLeft w:val="0"/>
      <w:marRight w:val="0"/>
      <w:marTop w:val="0"/>
      <w:marBottom w:val="0"/>
      <w:divBdr>
        <w:top w:val="none" w:sz="0" w:space="0" w:color="auto"/>
        <w:left w:val="none" w:sz="0" w:space="0" w:color="auto"/>
        <w:bottom w:val="none" w:sz="0" w:space="0" w:color="auto"/>
        <w:right w:val="none" w:sz="0" w:space="0" w:color="auto"/>
      </w:divBdr>
    </w:div>
    <w:div w:id="542207576">
      <w:bodyDiv w:val="1"/>
      <w:marLeft w:val="0"/>
      <w:marRight w:val="0"/>
      <w:marTop w:val="0"/>
      <w:marBottom w:val="0"/>
      <w:divBdr>
        <w:top w:val="none" w:sz="0" w:space="0" w:color="auto"/>
        <w:left w:val="none" w:sz="0" w:space="0" w:color="auto"/>
        <w:bottom w:val="none" w:sz="0" w:space="0" w:color="auto"/>
        <w:right w:val="none" w:sz="0" w:space="0" w:color="auto"/>
      </w:divBdr>
    </w:div>
    <w:div w:id="545147122">
      <w:bodyDiv w:val="1"/>
      <w:marLeft w:val="0"/>
      <w:marRight w:val="0"/>
      <w:marTop w:val="0"/>
      <w:marBottom w:val="0"/>
      <w:divBdr>
        <w:top w:val="none" w:sz="0" w:space="0" w:color="auto"/>
        <w:left w:val="none" w:sz="0" w:space="0" w:color="auto"/>
        <w:bottom w:val="none" w:sz="0" w:space="0" w:color="auto"/>
        <w:right w:val="none" w:sz="0" w:space="0" w:color="auto"/>
      </w:divBdr>
    </w:div>
    <w:div w:id="1440488798">
      <w:bodyDiv w:val="1"/>
      <w:marLeft w:val="0"/>
      <w:marRight w:val="0"/>
      <w:marTop w:val="0"/>
      <w:marBottom w:val="0"/>
      <w:divBdr>
        <w:top w:val="none" w:sz="0" w:space="0" w:color="auto"/>
        <w:left w:val="none" w:sz="0" w:space="0" w:color="auto"/>
        <w:bottom w:val="none" w:sz="0" w:space="0" w:color="auto"/>
        <w:right w:val="none" w:sz="0" w:space="0" w:color="auto"/>
      </w:divBdr>
      <w:divsChild>
        <w:div w:id="1140730712">
          <w:marLeft w:val="0"/>
          <w:marRight w:val="0"/>
          <w:marTop w:val="0"/>
          <w:marBottom w:val="0"/>
          <w:divBdr>
            <w:top w:val="none" w:sz="0" w:space="0" w:color="auto"/>
            <w:left w:val="none" w:sz="0" w:space="0" w:color="auto"/>
            <w:bottom w:val="none" w:sz="0" w:space="0" w:color="auto"/>
            <w:right w:val="none" w:sz="0" w:space="0" w:color="auto"/>
          </w:divBdr>
          <w:divsChild>
            <w:div w:id="973751182">
              <w:marLeft w:val="0"/>
              <w:marRight w:val="0"/>
              <w:marTop w:val="0"/>
              <w:marBottom w:val="0"/>
              <w:divBdr>
                <w:top w:val="none" w:sz="0" w:space="0" w:color="auto"/>
                <w:left w:val="none" w:sz="0" w:space="0" w:color="auto"/>
                <w:bottom w:val="none" w:sz="0" w:space="0" w:color="auto"/>
                <w:right w:val="none" w:sz="0" w:space="0" w:color="auto"/>
              </w:divBdr>
            </w:div>
          </w:divsChild>
        </w:div>
        <w:div w:id="138890694">
          <w:marLeft w:val="0"/>
          <w:marRight w:val="0"/>
          <w:marTop w:val="0"/>
          <w:marBottom w:val="0"/>
          <w:divBdr>
            <w:top w:val="none" w:sz="0" w:space="0" w:color="auto"/>
            <w:left w:val="none" w:sz="0" w:space="0" w:color="auto"/>
            <w:bottom w:val="none" w:sz="0" w:space="0" w:color="auto"/>
            <w:right w:val="none" w:sz="0" w:space="0" w:color="auto"/>
          </w:divBdr>
          <w:divsChild>
            <w:div w:id="498232531">
              <w:marLeft w:val="345"/>
              <w:marRight w:val="0"/>
              <w:marTop w:val="0"/>
              <w:marBottom w:val="0"/>
              <w:divBdr>
                <w:top w:val="none" w:sz="0" w:space="0" w:color="auto"/>
                <w:left w:val="none" w:sz="0" w:space="0" w:color="auto"/>
                <w:bottom w:val="none" w:sz="0" w:space="0" w:color="auto"/>
                <w:right w:val="none" w:sz="0" w:space="0" w:color="auto"/>
              </w:divBdr>
              <w:divsChild>
                <w:div w:id="2088727352">
                  <w:marLeft w:val="0"/>
                  <w:marRight w:val="0"/>
                  <w:marTop w:val="0"/>
                  <w:marBottom w:val="0"/>
                  <w:divBdr>
                    <w:top w:val="none" w:sz="0" w:space="0" w:color="auto"/>
                    <w:left w:val="none" w:sz="0" w:space="0" w:color="auto"/>
                    <w:bottom w:val="none" w:sz="0" w:space="0" w:color="auto"/>
                    <w:right w:val="none" w:sz="0" w:space="0" w:color="auto"/>
                  </w:divBdr>
                  <w:divsChild>
                    <w:div w:id="1515262103">
                      <w:marLeft w:val="0"/>
                      <w:marRight w:val="0"/>
                      <w:marTop w:val="0"/>
                      <w:marBottom w:val="0"/>
                      <w:divBdr>
                        <w:top w:val="none" w:sz="0" w:space="0" w:color="auto"/>
                        <w:left w:val="none" w:sz="0" w:space="0" w:color="auto"/>
                        <w:bottom w:val="none" w:sz="0" w:space="0" w:color="auto"/>
                        <w:right w:val="none" w:sz="0" w:space="0" w:color="auto"/>
                      </w:divBdr>
                      <w:divsChild>
                        <w:div w:id="1716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8542">
          <w:marLeft w:val="0"/>
          <w:marRight w:val="0"/>
          <w:marTop w:val="0"/>
          <w:marBottom w:val="0"/>
          <w:divBdr>
            <w:top w:val="none" w:sz="0" w:space="0" w:color="auto"/>
            <w:left w:val="none" w:sz="0" w:space="0" w:color="auto"/>
            <w:bottom w:val="none" w:sz="0" w:space="0" w:color="auto"/>
            <w:right w:val="none" w:sz="0" w:space="0" w:color="auto"/>
          </w:divBdr>
        </w:div>
        <w:div w:id="424425503">
          <w:marLeft w:val="0"/>
          <w:marRight w:val="0"/>
          <w:marTop w:val="0"/>
          <w:marBottom w:val="0"/>
          <w:divBdr>
            <w:top w:val="none" w:sz="0" w:space="0" w:color="auto"/>
            <w:left w:val="none" w:sz="0" w:space="0" w:color="auto"/>
            <w:bottom w:val="none" w:sz="0" w:space="0" w:color="auto"/>
            <w:right w:val="none" w:sz="0" w:space="0" w:color="auto"/>
          </w:divBdr>
          <w:divsChild>
            <w:div w:id="1471633628">
              <w:marLeft w:val="345"/>
              <w:marRight w:val="0"/>
              <w:marTop w:val="0"/>
              <w:marBottom w:val="0"/>
              <w:divBdr>
                <w:top w:val="none" w:sz="0" w:space="0" w:color="auto"/>
                <w:left w:val="none" w:sz="0" w:space="0" w:color="auto"/>
                <w:bottom w:val="none" w:sz="0" w:space="0" w:color="auto"/>
                <w:right w:val="none" w:sz="0" w:space="0" w:color="auto"/>
              </w:divBdr>
              <w:divsChild>
                <w:div w:id="2082749786">
                  <w:marLeft w:val="0"/>
                  <w:marRight w:val="0"/>
                  <w:marTop w:val="0"/>
                  <w:marBottom w:val="0"/>
                  <w:divBdr>
                    <w:top w:val="none" w:sz="0" w:space="0" w:color="auto"/>
                    <w:left w:val="none" w:sz="0" w:space="0" w:color="auto"/>
                    <w:bottom w:val="none" w:sz="0" w:space="0" w:color="auto"/>
                    <w:right w:val="none" w:sz="0" w:space="0" w:color="auto"/>
                  </w:divBdr>
                  <w:divsChild>
                    <w:div w:id="2074229704">
                      <w:marLeft w:val="0"/>
                      <w:marRight w:val="0"/>
                      <w:marTop w:val="0"/>
                      <w:marBottom w:val="0"/>
                      <w:divBdr>
                        <w:top w:val="none" w:sz="0" w:space="0" w:color="auto"/>
                        <w:left w:val="none" w:sz="0" w:space="0" w:color="auto"/>
                        <w:bottom w:val="none" w:sz="0" w:space="0" w:color="auto"/>
                        <w:right w:val="none" w:sz="0" w:space="0" w:color="auto"/>
                      </w:divBdr>
                      <w:divsChild>
                        <w:div w:id="18748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7709">
          <w:marLeft w:val="0"/>
          <w:marRight w:val="0"/>
          <w:marTop w:val="0"/>
          <w:marBottom w:val="0"/>
          <w:divBdr>
            <w:top w:val="none" w:sz="0" w:space="0" w:color="auto"/>
            <w:left w:val="none" w:sz="0" w:space="0" w:color="auto"/>
            <w:bottom w:val="none" w:sz="0" w:space="0" w:color="auto"/>
            <w:right w:val="none" w:sz="0" w:space="0" w:color="auto"/>
          </w:divBdr>
        </w:div>
        <w:div w:id="970554362">
          <w:marLeft w:val="0"/>
          <w:marRight w:val="0"/>
          <w:marTop w:val="0"/>
          <w:marBottom w:val="0"/>
          <w:divBdr>
            <w:top w:val="none" w:sz="0" w:space="0" w:color="auto"/>
            <w:left w:val="none" w:sz="0" w:space="0" w:color="auto"/>
            <w:bottom w:val="none" w:sz="0" w:space="0" w:color="auto"/>
            <w:right w:val="none" w:sz="0" w:space="0" w:color="auto"/>
          </w:divBdr>
          <w:divsChild>
            <w:div w:id="246426255">
              <w:marLeft w:val="345"/>
              <w:marRight w:val="0"/>
              <w:marTop w:val="0"/>
              <w:marBottom w:val="0"/>
              <w:divBdr>
                <w:top w:val="none" w:sz="0" w:space="0" w:color="auto"/>
                <w:left w:val="none" w:sz="0" w:space="0" w:color="auto"/>
                <w:bottom w:val="none" w:sz="0" w:space="0" w:color="auto"/>
                <w:right w:val="none" w:sz="0" w:space="0" w:color="auto"/>
              </w:divBdr>
              <w:divsChild>
                <w:div w:id="726343029">
                  <w:marLeft w:val="0"/>
                  <w:marRight w:val="0"/>
                  <w:marTop w:val="0"/>
                  <w:marBottom w:val="0"/>
                  <w:divBdr>
                    <w:top w:val="none" w:sz="0" w:space="0" w:color="auto"/>
                    <w:left w:val="none" w:sz="0" w:space="0" w:color="auto"/>
                    <w:bottom w:val="none" w:sz="0" w:space="0" w:color="auto"/>
                    <w:right w:val="none" w:sz="0" w:space="0" w:color="auto"/>
                  </w:divBdr>
                  <w:divsChild>
                    <w:div w:id="193814062">
                      <w:marLeft w:val="0"/>
                      <w:marRight w:val="0"/>
                      <w:marTop w:val="0"/>
                      <w:marBottom w:val="0"/>
                      <w:divBdr>
                        <w:top w:val="none" w:sz="0" w:space="0" w:color="auto"/>
                        <w:left w:val="none" w:sz="0" w:space="0" w:color="auto"/>
                        <w:bottom w:val="none" w:sz="0" w:space="0" w:color="auto"/>
                        <w:right w:val="none" w:sz="0" w:space="0" w:color="auto"/>
                      </w:divBdr>
                      <w:divsChild>
                        <w:div w:id="2033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3125">
          <w:marLeft w:val="0"/>
          <w:marRight w:val="0"/>
          <w:marTop w:val="0"/>
          <w:marBottom w:val="0"/>
          <w:divBdr>
            <w:top w:val="none" w:sz="0" w:space="0" w:color="auto"/>
            <w:left w:val="none" w:sz="0" w:space="0" w:color="auto"/>
            <w:bottom w:val="none" w:sz="0" w:space="0" w:color="auto"/>
            <w:right w:val="none" w:sz="0" w:space="0" w:color="auto"/>
          </w:divBdr>
        </w:div>
        <w:div w:id="366568255">
          <w:marLeft w:val="0"/>
          <w:marRight w:val="0"/>
          <w:marTop w:val="0"/>
          <w:marBottom w:val="0"/>
          <w:divBdr>
            <w:top w:val="none" w:sz="0" w:space="0" w:color="auto"/>
            <w:left w:val="none" w:sz="0" w:space="0" w:color="auto"/>
            <w:bottom w:val="none" w:sz="0" w:space="0" w:color="auto"/>
            <w:right w:val="none" w:sz="0" w:space="0" w:color="auto"/>
          </w:divBdr>
          <w:divsChild>
            <w:div w:id="1434744143">
              <w:marLeft w:val="345"/>
              <w:marRight w:val="0"/>
              <w:marTop w:val="0"/>
              <w:marBottom w:val="0"/>
              <w:divBdr>
                <w:top w:val="none" w:sz="0" w:space="0" w:color="auto"/>
                <w:left w:val="none" w:sz="0" w:space="0" w:color="auto"/>
                <w:bottom w:val="none" w:sz="0" w:space="0" w:color="auto"/>
                <w:right w:val="none" w:sz="0" w:space="0" w:color="auto"/>
              </w:divBdr>
              <w:divsChild>
                <w:div w:id="1187062262">
                  <w:marLeft w:val="0"/>
                  <w:marRight w:val="0"/>
                  <w:marTop w:val="0"/>
                  <w:marBottom w:val="0"/>
                  <w:divBdr>
                    <w:top w:val="none" w:sz="0" w:space="0" w:color="auto"/>
                    <w:left w:val="none" w:sz="0" w:space="0" w:color="auto"/>
                    <w:bottom w:val="none" w:sz="0" w:space="0" w:color="auto"/>
                    <w:right w:val="none" w:sz="0" w:space="0" w:color="auto"/>
                  </w:divBdr>
                  <w:divsChild>
                    <w:div w:id="193815421">
                      <w:marLeft w:val="0"/>
                      <w:marRight w:val="0"/>
                      <w:marTop w:val="0"/>
                      <w:marBottom w:val="0"/>
                      <w:divBdr>
                        <w:top w:val="none" w:sz="0" w:space="0" w:color="auto"/>
                        <w:left w:val="none" w:sz="0" w:space="0" w:color="auto"/>
                        <w:bottom w:val="none" w:sz="0" w:space="0" w:color="auto"/>
                        <w:right w:val="none" w:sz="0" w:space="0" w:color="auto"/>
                      </w:divBdr>
                      <w:divsChild>
                        <w:div w:id="19064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02550">
          <w:marLeft w:val="0"/>
          <w:marRight w:val="0"/>
          <w:marTop w:val="0"/>
          <w:marBottom w:val="0"/>
          <w:divBdr>
            <w:top w:val="none" w:sz="0" w:space="0" w:color="auto"/>
            <w:left w:val="none" w:sz="0" w:space="0" w:color="auto"/>
            <w:bottom w:val="none" w:sz="0" w:space="0" w:color="auto"/>
            <w:right w:val="none" w:sz="0" w:space="0" w:color="auto"/>
          </w:divBdr>
        </w:div>
        <w:div w:id="702555286">
          <w:marLeft w:val="0"/>
          <w:marRight w:val="0"/>
          <w:marTop w:val="0"/>
          <w:marBottom w:val="0"/>
          <w:divBdr>
            <w:top w:val="none" w:sz="0" w:space="0" w:color="auto"/>
            <w:left w:val="none" w:sz="0" w:space="0" w:color="auto"/>
            <w:bottom w:val="none" w:sz="0" w:space="0" w:color="auto"/>
            <w:right w:val="none" w:sz="0" w:space="0" w:color="auto"/>
          </w:divBdr>
          <w:divsChild>
            <w:div w:id="1343359728">
              <w:marLeft w:val="345"/>
              <w:marRight w:val="0"/>
              <w:marTop w:val="0"/>
              <w:marBottom w:val="0"/>
              <w:divBdr>
                <w:top w:val="none" w:sz="0" w:space="0" w:color="auto"/>
                <w:left w:val="none" w:sz="0" w:space="0" w:color="auto"/>
                <w:bottom w:val="none" w:sz="0" w:space="0" w:color="auto"/>
                <w:right w:val="none" w:sz="0" w:space="0" w:color="auto"/>
              </w:divBdr>
              <w:divsChild>
                <w:div w:id="1951008658">
                  <w:marLeft w:val="0"/>
                  <w:marRight w:val="0"/>
                  <w:marTop w:val="0"/>
                  <w:marBottom w:val="0"/>
                  <w:divBdr>
                    <w:top w:val="none" w:sz="0" w:space="0" w:color="auto"/>
                    <w:left w:val="none" w:sz="0" w:space="0" w:color="auto"/>
                    <w:bottom w:val="none" w:sz="0" w:space="0" w:color="auto"/>
                    <w:right w:val="none" w:sz="0" w:space="0" w:color="auto"/>
                  </w:divBdr>
                  <w:divsChild>
                    <w:div w:id="229049374">
                      <w:marLeft w:val="0"/>
                      <w:marRight w:val="0"/>
                      <w:marTop w:val="0"/>
                      <w:marBottom w:val="0"/>
                      <w:divBdr>
                        <w:top w:val="none" w:sz="0" w:space="0" w:color="auto"/>
                        <w:left w:val="none" w:sz="0" w:space="0" w:color="auto"/>
                        <w:bottom w:val="none" w:sz="0" w:space="0" w:color="auto"/>
                        <w:right w:val="none" w:sz="0" w:space="0" w:color="auto"/>
                      </w:divBdr>
                      <w:divsChild>
                        <w:div w:id="20288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6866">
          <w:marLeft w:val="0"/>
          <w:marRight w:val="0"/>
          <w:marTop w:val="0"/>
          <w:marBottom w:val="0"/>
          <w:divBdr>
            <w:top w:val="none" w:sz="0" w:space="0" w:color="auto"/>
            <w:left w:val="none" w:sz="0" w:space="0" w:color="auto"/>
            <w:bottom w:val="none" w:sz="0" w:space="0" w:color="auto"/>
            <w:right w:val="none" w:sz="0" w:space="0" w:color="auto"/>
          </w:divBdr>
        </w:div>
        <w:div w:id="795565743">
          <w:marLeft w:val="0"/>
          <w:marRight w:val="0"/>
          <w:marTop w:val="0"/>
          <w:marBottom w:val="0"/>
          <w:divBdr>
            <w:top w:val="none" w:sz="0" w:space="0" w:color="auto"/>
            <w:left w:val="none" w:sz="0" w:space="0" w:color="auto"/>
            <w:bottom w:val="none" w:sz="0" w:space="0" w:color="auto"/>
            <w:right w:val="none" w:sz="0" w:space="0" w:color="auto"/>
          </w:divBdr>
          <w:divsChild>
            <w:div w:id="222568271">
              <w:marLeft w:val="345"/>
              <w:marRight w:val="0"/>
              <w:marTop w:val="0"/>
              <w:marBottom w:val="0"/>
              <w:divBdr>
                <w:top w:val="none" w:sz="0" w:space="0" w:color="auto"/>
                <w:left w:val="none" w:sz="0" w:space="0" w:color="auto"/>
                <w:bottom w:val="none" w:sz="0" w:space="0" w:color="auto"/>
                <w:right w:val="none" w:sz="0" w:space="0" w:color="auto"/>
              </w:divBdr>
              <w:divsChild>
                <w:div w:id="41708752">
                  <w:marLeft w:val="0"/>
                  <w:marRight w:val="0"/>
                  <w:marTop w:val="0"/>
                  <w:marBottom w:val="0"/>
                  <w:divBdr>
                    <w:top w:val="none" w:sz="0" w:space="0" w:color="auto"/>
                    <w:left w:val="none" w:sz="0" w:space="0" w:color="auto"/>
                    <w:bottom w:val="none" w:sz="0" w:space="0" w:color="auto"/>
                    <w:right w:val="none" w:sz="0" w:space="0" w:color="auto"/>
                  </w:divBdr>
                  <w:divsChild>
                    <w:div w:id="394205339">
                      <w:marLeft w:val="0"/>
                      <w:marRight w:val="0"/>
                      <w:marTop w:val="0"/>
                      <w:marBottom w:val="0"/>
                      <w:divBdr>
                        <w:top w:val="none" w:sz="0" w:space="0" w:color="auto"/>
                        <w:left w:val="none" w:sz="0" w:space="0" w:color="auto"/>
                        <w:bottom w:val="none" w:sz="0" w:space="0" w:color="auto"/>
                        <w:right w:val="none" w:sz="0" w:space="0" w:color="auto"/>
                      </w:divBdr>
                      <w:divsChild>
                        <w:div w:id="18813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869435">
          <w:marLeft w:val="0"/>
          <w:marRight w:val="0"/>
          <w:marTop w:val="0"/>
          <w:marBottom w:val="0"/>
          <w:divBdr>
            <w:top w:val="none" w:sz="0" w:space="0" w:color="auto"/>
            <w:left w:val="none" w:sz="0" w:space="0" w:color="auto"/>
            <w:bottom w:val="none" w:sz="0" w:space="0" w:color="auto"/>
            <w:right w:val="none" w:sz="0" w:space="0" w:color="auto"/>
          </w:divBdr>
        </w:div>
        <w:div w:id="22175950">
          <w:marLeft w:val="345"/>
          <w:marRight w:val="0"/>
          <w:marTop w:val="0"/>
          <w:marBottom w:val="0"/>
          <w:divBdr>
            <w:top w:val="none" w:sz="0" w:space="0" w:color="auto"/>
            <w:left w:val="none" w:sz="0" w:space="0" w:color="auto"/>
            <w:bottom w:val="none" w:sz="0" w:space="0" w:color="auto"/>
            <w:right w:val="none" w:sz="0" w:space="0" w:color="auto"/>
          </w:divBdr>
          <w:divsChild>
            <w:div w:id="1749422391">
              <w:marLeft w:val="0"/>
              <w:marRight w:val="0"/>
              <w:marTop w:val="0"/>
              <w:marBottom w:val="0"/>
              <w:divBdr>
                <w:top w:val="none" w:sz="0" w:space="0" w:color="auto"/>
                <w:left w:val="none" w:sz="0" w:space="0" w:color="auto"/>
                <w:bottom w:val="none" w:sz="0" w:space="0" w:color="auto"/>
                <w:right w:val="none" w:sz="0" w:space="0" w:color="auto"/>
              </w:divBdr>
              <w:divsChild>
                <w:div w:id="1097098727">
                  <w:marLeft w:val="0"/>
                  <w:marRight w:val="0"/>
                  <w:marTop w:val="0"/>
                  <w:marBottom w:val="0"/>
                  <w:divBdr>
                    <w:top w:val="none" w:sz="0" w:space="0" w:color="auto"/>
                    <w:left w:val="none" w:sz="0" w:space="0" w:color="auto"/>
                    <w:bottom w:val="none" w:sz="0" w:space="0" w:color="auto"/>
                    <w:right w:val="none" w:sz="0" w:space="0" w:color="auto"/>
                  </w:divBdr>
                  <w:divsChild>
                    <w:div w:id="12351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49271">
      <w:bodyDiv w:val="1"/>
      <w:marLeft w:val="0"/>
      <w:marRight w:val="0"/>
      <w:marTop w:val="0"/>
      <w:marBottom w:val="0"/>
      <w:divBdr>
        <w:top w:val="none" w:sz="0" w:space="0" w:color="auto"/>
        <w:left w:val="none" w:sz="0" w:space="0" w:color="auto"/>
        <w:bottom w:val="none" w:sz="0" w:space="0" w:color="auto"/>
        <w:right w:val="none" w:sz="0" w:space="0" w:color="auto"/>
      </w:divBdr>
    </w:div>
    <w:div w:id="1727754711">
      <w:bodyDiv w:val="1"/>
      <w:marLeft w:val="0"/>
      <w:marRight w:val="0"/>
      <w:marTop w:val="0"/>
      <w:marBottom w:val="0"/>
      <w:divBdr>
        <w:top w:val="none" w:sz="0" w:space="0" w:color="auto"/>
        <w:left w:val="none" w:sz="0" w:space="0" w:color="auto"/>
        <w:bottom w:val="none" w:sz="0" w:space="0" w:color="auto"/>
        <w:right w:val="none" w:sz="0" w:space="0" w:color="auto"/>
      </w:divBdr>
    </w:div>
    <w:div w:id="1728916515">
      <w:bodyDiv w:val="1"/>
      <w:marLeft w:val="0"/>
      <w:marRight w:val="0"/>
      <w:marTop w:val="0"/>
      <w:marBottom w:val="0"/>
      <w:divBdr>
        <w:top w:val="none" w:sz="0" w:space="0" w:color="auto"/>
        <w:left w:val="none" w:sz="0" w:space="0" w:color="auto"/>
        <w:bottom w:val="none" w:sz="0" w:space="0" w:color="auto"/>
        <w:right w:val="none" w:sz="0" w:space="0" w:color="auto"/>
      </w:divBdr>
    </w:div>
    <w:div w:id="1729766156">
      <w:bodyDiv w:val="1"/>
      <w:marLeft w:val="0"/>
      <w:marRight w:val="0"/>
      <w:marTop w:val="0"/>
      <w:marBottom w:val="0"/>
      <w:divBdr>
        <w:top w:val="none" w:sz="0" w:space="0" w:color="auto"/>
        <w:left w:val="none" w:sz="0" w:space="0" w:color="auto"/>
        <w:bottom w:val="none" w:sz="0" w:space="0" w:color="auto"/>
        <w:right w:val="none" w:sz="0" w:space="0" w:color="auto"/>
      </w:divBdr>
    </w:div>
    <w:div w:id="194210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amazon.com/en/services/legal/us/spendingandtransaction/Pages/default.aspx" TargetMode="External"/><Relationship Id="rId13" Type="http://schemas.openxmlformats.org/officeDocument/2006/relationships/hyperlink" Target="https://inside.amazon.com/en/services/legal/us/spendingandtransaction/Pages/default.aspx" TargetMode="External"/><Relationship Id="rId18" Type="http://schemas.openxmlformats.org/officeDocument/2006/relationships/hyperlink" Target="https://grc.amazon.com/controls/4132"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nside.amazon.com/en/services/legal/us/spendingandtransaction/Pages/default.aspx" TargetMode="External"/><Relationship Id="rId17" Type="http://schemas.openxmlformats.org/officeDocument/2006/relationships/hyperlink" Target="https://grc.amazon.com/controls/4215"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inside.amazon.com/en/services/legal/us/spendingandtransaction/Pages/default.aspx" TargetMode="External"/><Relationship Id="rId20" Type="http://schemas.openxmlformats.org/officeDocument/2006/relationships/hyperlink" Target="https://grc.amazon.com/controls/41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de.amazon.com/en/services/legal/us/spendingandtransaction/Pages/default.asp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nside.amazon.com/en/services/legal/us/spendingandtransaction/Pages/default.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inside.amazon.com/en/services/legal/us/spendingandtransaction/Pages/default.aspx" TargetMode="External"/><Relationship Id="rId19" Type="http://schemas.openxmlformats.org/officeDocument/2006/relationships/hyperlink" Target="https://grc.amazon.com/controls/4133" TargetMode="External"/><Relationship Id="rId4" Type="http://schemas.openxmlformats.org/officeDocument/2006/relationships/settings" Target="settings.xml"/><Relationship Id="rId9" Type="http://schemas.openxmlformats.org/officeDocument/2006/relationships/hyperlink" Target="https://inside.amazon.com/en/services/legal/us/spendingandtransaction/Pages/default.aspx" TargetMode="External"/><Relationship Id="rId14" Type="http://schemas.openxmlformats.org/officeDocument/2006/relationships/hyperlink" Target="https://inside.amazon.com/en/services/legal/us/spendingandtransaction/Pages/default.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7F29-D0E5-4822-BD9D-4B76A656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Mistry</dc:creator>
  <cp:keywords/>
  <dc:description/>
  <cp:lastModifiedBy>David Lee</cp:lastModifiedBy>
  <cp:revision>3</cp:revision>
  <cp:lastPrinted>2019-10-25T09:39:00Z</cp:lastPrinted>
  <dcterms:created xsi:type="dcterms:W3CDTF">2023-07-06T23:59:00Z</dcterms:created>
  <dcterms:modified xsi:type="dcterms:W3CDTF">2023-07-07T00:13:00Z</dcterms:modified>
</cp:coreProperties>
</file>