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2F284" w14:textId="411ADC6C" w:rsidR="00E002B5" w:rsidRPr="00B53199" w:rsidRDefault="00F93F01">
      <w:pPr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4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/26 </w:t>
      </w:r>
      <w:r w:rsidR="00E002B5"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김소희</w:t>
      </w:r>
    </w:p>
    <w:p w14:paraId="6BE85A9E" w14:textId="24219085" w:rsidR="00B53199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 w:hint="eastAsia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  <w:shd w:val="clear" w:color="auto" w:fill="FFFFFF"/>
        </w:rPr>
        <w:t xml:space="preserve">BISWAS, MA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  <w:shd w:val="clear" w:color="auto" w:fill="FFFFFF"/>
        </w:rPr>
        <w:t>Rafe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  <w:shd w:val="clear" w:color="auto" w:fill="FFFFFF"/>
        </w:rPr>
        <w:t>; ROBINSON, Melvin D.; FUMO, Nelson. Prediction of residential building energy consumption: A neural network approach.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  <w:shd w:val="clear" w:color="auto" w:fill="FFFFFF"/>
        </w:rPr>
        <w:t>Energy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  <w:shd w:val="clear" w:color="auto" w:fill="FFFFFF"/>
        </w:rPr>
        <w:t>, 2016, 117: 84-92.</w:t>
      </w:r>
    </w:p>
    <w:p w14:paraId="5702E95E" w14:textId="72FCD1D8" w:rsidR="00F93F01" w:rsidRPr="00B53199" w:rsidRDefault="00F93F01">
      <w:pPr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4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/26 </w:t>
      </w:r>
      <w:proofErr w:type="spellStart"/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코빌전</w:t>
      </w:r>
      <w:proofErr w:type="spellEnd"/>
    </w:p>
    <w:p w14:paraId="13BEFEAE" w14:textId="5C9A2D63" w:rsidR="00F93F01" w:rsidRPr="00E002B5" w:rsidRDefault="00F93F01" w:rsidP="00F93F0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 xml:space="preserve">Deep Learning for solar power forecasting—An approach using </w:t>
      </w:r>
      <w:proofErr w:type="spellStart"/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AutoEncoder</w:t>
      </w:r>
      <w:proofErr w:type="spellEnd"/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 xml:space="preserve"> and LSTM Neural Networks.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 (Gensler et al. 2016, </w:t>
      </w:r>
      <w:hyperlink r:id="rId5" w:tgtFrame="_blank" w:history="1">
        <w:r w:rsidRPr="00E002B5">
          <w:rPr>
            <w:rFonts w:asciiTheme="majorEastAsia" w:eastAsiaTheme="majorEastAsia" w:hAnsiTheme="majorEastAsia" w:cs="Arial"/>
            <w:color w:val="1155CC"/>
            <w:kern w:val="0"/>
            <w:sz w:val="24"/>
            <w:szCs w:val="24"/>
            <w:u w:val="single"/>
          </w:rPr>
          <w:t>HTML</w:t>
        </w:r>
      </w:hyperlink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)</w:t>
      </w:r>
    </w:p>
    <w:p w14:paraId="32BDAC29" w14:textId="31826B7D" w:rsidR="00F200E3" w:rsidRPr="00F200E3" w:rsidRDefault="00F200E3">
      <w:pPr>
        <w:rPr>
          <w:rFonts w:asciiTheme="majorEastAsia" w:eastAsiaTheme="majorEastAsia" w:hAnsiTheme="majorEastAsia"/>
          <w:sz w:val="24"/>
          <w:szCs w:val="24"/>
        </w:rPr>
      </w:pPr>
    </w:p>
    <w:p w14:paraId="05A4AFDC" w14:textId="77777777" w:rsidR="00F200E3" w:rsidRPr="00B53199" w:rsidRDefault="00F200E3" w:rsidP="00B53199">
      <w:pPr>
        <w:spacing w:line="240" w:lineRule="auto"/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5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/3 </w:t>
      </w: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이지민</w:t>
      </w:r>
    </w:p>
    <w:p w14:paraId="19FB5148" w14:textId="77777777" w:rsidR="00F200E3" w:rsidRPr="00E002B5" w:rsidRDefault="00F200E3" w:rsidP="00B531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주제 </w:t>
      </w:r>
      <w:proofErr w:type="gram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논문 :</w:t>
      </w:r>
      <w:proofErr w:type="gram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 A Survey of Distributed Optimization and Control Algorithms for Electric Power Systems</w:t>
      </w:r>
    </w:p>
    <w:p w14:paraId="54B02AE4" w14:textId="6F56F8F4" w:rsidR="00B53199" w:rsidRPr="00B53199" w:rsidRDefault="00F200E3" w:rsidP="00B5319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 w:hint="eastAsia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관련 </w:t>
      </w:r>
      <w:proofErr w:type="gram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논문 :</w:t>
      </w:r>
      <w:proofErr w:type="gram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 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History of Optimal Power Flow and Formulations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(Mary B. Cain, Richard P. O’Neill, Anya Castillo), 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Optimal Parameter Selection for the Alternating Direction Method of Multipliers (ADMM): Quadratic Problems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(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Euhanna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Ghadimi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, Member, IEEE, André Teixeira, Iman Shames, Member, IEEE, and Mikael Johansson, Member, IEEE ), 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 xml:space="preserve">A Modified </w:t>
      </w:r>
      <w:proofErr w:type="spellStart"/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DistFlow</w:t>
      </w:r>
      <w:proofErr w:type="spellEnd"/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 xml:space="preserve"> for Distributed Generation Planning Problems in Radial Grids(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Rémy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Rigo-Mariani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,  Vincent 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Debusschere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 ,  Marie-Cécile Alvarez-</w:t>
      </w:r>
      <w:proofErr w:type="spell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Herault</w:t>
      </w:r>
      <w:proofErr w:type="spell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)</w:t>
      </w:r>
    </w:p>
    <w:p w14:paraId="5B874460" w14:textId="77777777" w:rsidR="00B53199" w:rsidRPr="00B53199" w:rsidRDefault="00F200E3" w:rsidP="00B53199">
      <w:pPr>
        <w:spacing w:line="240" w:lineRule="auto"/>
        <w:rPr>
          <w:rFonts w:asciiTheme="majorEastAsia" w:eastAsiaTheme="majorEastAsia" w:hAnsiTheme="majorEastAsia" w:cs="Arial"/>
          <w:b/>
          <w:bCs/>
          <w:color w:val="0066FF"/>
          <w:kern w:val="0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5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/3 </w:t>
      </w:r>
      <w:proofErr w:type="spellStart"/>
      <w:r w:rsidRPr="00B53199">
        <w:rPr>
          <w:rFonts w:asciiTheme="majorEastAsia" w:eastAsiaTheme="majorEastAsia" w:hAnsiTheme="majorEastAsia" w:cs="Arial" w:hint="eastAsia"/>
          <w:b/>
          <w:bCs/>
          <w:color w:val="0066FF"/>
          <w:kern w:val="0"/>
          <w:sz w:val="24"/>
          <w:szCs w:val="24"/>
        </w:rPr>
        <w:t>이용건</w:t>
      </w:r>
      <w:proofErr w:type="spellEnd"/>
    </w:p>
    <w:p w14:paraId="2676E7AE" w14:textId="056A568E" w:rsidR="00F200E3" w:rsidRPr="00E002B5" w:rsidRDefault="00F200E3" w:rsidP="00B53199">
      <w:pPr>
        <w:spacing w:line="240" w:lineRule="auto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ALMAGHREBI, Ahmad, et al. Data-driven charging demand prediction at public charging stations using supervised machine learning regression methods.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Energies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, 2020, 13.16: 4231.</w:t>
      </w:r>
    </w:p>
    <w:p w14:paraId="33B4E3C0" w14:textId="77777777" w:rsidR="00F200E3" w:rsidRPr="00F200E3" w:rsidRDefault="00F200E3">
      <w:pPr>
        <w:rPr>
          <w:rFonts w:asciiTheme="majorEastAsia" w:eastAsiaTheme="majorEastAsia" w:hAnsiTheme="majorEastAsia" w:hint="eastAsia"/>
          <w:sz w:val="24"/>
          <w:szCs w:val="24"/>
        </w:rPr>
      </w:pPr>
    </w:p>
    <w:p w14:paraId="6E54AB75" w14:textId="3AC0A7AC" w:rsidR="00E002B5" w:rsidRPr="00B53199" w:rsidRDefault="00F200E3">
      <w:pPr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</w:pPr>
      <w:r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5</w:t>
      </w:r>
      <w:r w:rsidRPr="00B53199">
        <w:rPr>
          <w:rFonts w:asciiTheme="majorEastAsia" w:eastAsiaTheme="majorEastAsia" w:hAnsiTheme="majorEastAsia"/>
          <w:b/>
          <w:bCs/>
          <w:color w:val="0066FF"/>
          <w:sz w:val="24"/>
          <w:szCs w:val="24"/>
        </w:rPr>
        <w:t xml:space="preserve">/10 </w:t>
      </w:r>
      <w:r w:rsidR="00E002B5" w:rsidRPr="00B53199">
        <w:rPr>
          <w:rFonts w:asciiTheme="majorEastAsia" w:eastAsiaTheme="majorEastAsia" w:hAnsiTheme="majorEastAsia" w:hint="eastAsia"/>
          <w:b/>
          <w:bCs/>
          <w:color w:val="0066FF"/>
          <w:sz w:val="24"/>
          <w:szCs w:val="24"/>
        </w:rPr>
        <w:t>이재용</w:t>
      </w:r>
    </w:p>
    <w:p w14:paraId="19BC157F" w14:textId="77777777" w:rsidR="00E002B5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</w:pP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RAZA, Muhammad Qamar; KHOSRAVI, Abbas. A review on artificial </w:t>
      </w:r>
      <w:proofErr w:type="gramStart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intelligence based</w:t>
      </w:r>
      <w:proofErr w:type="gramEnd"/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 xml:space="preserve"> load demand forecasting techniques for smart grid and buildings. </w:t>
      </w:r>
      <w:r w:rsidRPr="00E002B5">
        <w:rPr>
          <w:rFonts w:asciiTheme="majorEastAsia" w:eastAsiaTheme="majorEastAsia" w:hAnsiTheme="majorEastAsia" w:cs="Arial"/>
          <w:i/>
          <w:iCs/>
          <w:color w:val="222222"/>
          <w:kern w:val="0"/>
          <w:sz w:val="24"/>
          <w:szCs w:val="24"/>
        </w:rPr>
        <w:t>Renewable and Sustainable Energy Reviews</w:t>
      </w:r>
      <w:r w:rsidRPr="00E002B5">
        <w:rPr>
          <w:rFonts w:asciiTheme="majorEastAsia" w:eastAsiaTheme="majorEastAsia" w:hAnsiTheme="majorEastAsia" w:cs="Arial"/>
          <w:color w:val="222222"/>
          <w:kern w:val="0"/>
          <w:sz w:val="24"/>
          <w:szCs w:val="24"/>
        </w:rPr>
        <w:t>, 2015, 50: 1352-1372.</w:t>
      </w:r>
    </w:p>
    <w:p w14:paraId="5F91569E" w14:textId="77777777" w:rsidR="00E002B5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6" w:tgtFrame="_blank" w:history="1">
        <w:r w:rsidRPr="00E002B5">
          <w:rPr>
            <w:rFonts w:asciiTheme="majorEastAsia" w:eastAsiaTheme="majorEastAsia" w:hAnsiTheme="majorEastAsia" w:cs="Arial"/>
            <w:color w:val="1155CC"/>
            <w:kern w:val="0"/>
            <w:sz w:val="24"/>
            <w:szCs w:val="24"/>
            <w:u w:val="single"/>
          </w:rPr>
          <w:t>https://www.sciencedirect.com/science/article/pii/S1364032115003354</w:t>
        </w:r>
      </w:hyperlink>
    </w:p>
    <w:p w14:paraId="65B4CF0D" w14:textId="77777777" w:rsidR="00E002B5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14:paraId="40A8E327" w14:textId="46B315E9" w:rsidR="00E002B5" w:rsidRDefault="00E002B5"/>
    <w:p w14:paraId="6DA5719C" w14:textId="363D5534" w:rsidR="00E002B5" w:rsidRDefault="00E002B5"/>
    <w:p w14:paraId="40830588" w14:textId="77777777" w:rsidR="00E002B5" w:rsidRPr="00E002B5" w:rsidRDefault="00E002B5" w:rsidP="00E002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222222"/>
          <w:kern w:val="0"/>
          <w:sz w:val="24"/>
          <w:szCs w:val="24"/>
        </w:rPr>
      </w:pPr>
    </w:p>
    <w:p w14:paraId="56578825" w14:textId="77777777" w:rsidR="00E002B5" w:rsidRPr="00E002B5" w:rsidRDefault="00E002B5">
      <w:pPr>
        <w:rPr>
          <w:rFonts w:hint="eastAsia"/>
        </w:rPr>
      </w:pPr>
    </w:p>
    <w:sectPr w:rsidR="00E002B5" w:rsidRPr="00E002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0042"/>
    <w:multiLevelType w:val="multilevel"/>
    <w:tmpl w:val="26C0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53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B5"/>
    <w:rsid w:val="008D3537"/>
    <w:rsid w:val="00B53199"/>
    <w:rsid w:val="00E002B5"/>
    <w:rsid w:val="00F200E3"/>
    <w:rsid w:val="00F9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4FDE"/>
  <w15:chartTrackingRefBased/>
  <w15:docId w15:val="{976B1B88-AF5F-4747-B7DB-83748D18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002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362">
              <w:marLeft w:val="0"/>
              <w:marRight w:val="0"/>
              <w:marTop w:val="0"/>
              <w:marBottom w:val="0"/>
              <w:div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divBdr>
              <w:divsChild>
                <w:div w:id="755900391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0" w:color="000000"/>
                    <w:bottom w:val="none" w:sz="0" w:space="0" w:color="000000"/>
                    <w:right w:val="none" w:sz="0" w:space="0" w:color="000000"/>
                  </w:divBdr>
                </w:div>
              </w:divsChild>
            </w:div>
          </w:divsChild>
        </w:div>
        <w:div w:id="110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1364032115003354" TargetMode="External"/><Relationship Id="rId5" Type="http://schemas.openxmlformats.org/officeDocument/2006/relationships/hyperlink" Target="https://ieeexplore.ieee.org/abstract/document/78446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김종권</dc:creator>
  <cp:keywords/>
  <dc:description/>
  <cp:lastModifiedBy>김종권</cp:lastModifiedBy>
  <cp:revision>1</cp:revision>
  <dcterms:created xsi:type="dcterms:W3CDTF">2022-04-17T05:27:00Z</dcterms:created>
  <dcterms:modified xsi:type="dcterms:W3CDTF">2022-04-17T05:46:00Z</dcterms:modified>
</cp:coreProperties>
</file>