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1. General Assessment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2. Structure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2.1. Introduction, Paragraphs 1-2</w:t>
      </w:r>
    </w:p>
    <w:p>
      <w:pPr>
        <w:ind w:left="567" w:right="567"/>
      </w:pPr>
      <w:r>
        <w:rPr>
          <w:rFonts w:ascii="Times New Roman" w:hAnsi="Times New Roman" w:eastAsia="Times New Roman"/>
          <w:b w:val="0"/>
          <w:i/>
          <w:sz w:val="20"/>
        </w:rPr>
        <w:t>Many researchers have studied...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Missing research gap statement.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2.2. Discussion,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Discussion could be more concise.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3. Expression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3.1. Abstract,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Awkward phrasing in abstract.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4. Methods and Statistics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4.1. Methods, Paragraphs 1-2</w:t>
      </w:r>
    </w:p>
    <w:p>
      <w:pPr>
        <w:ind w:left="567" w:right="567"/>
      </w:pPr>
      <w:r>
        <w:rPr>
          <w:rFonts w:ascii="Times New Roman" w:hAnsi="Times New Roman" w:eastAsia="Times New Roman"/>
          <w:b w:val="0"/>
          <w:i/>
          <w:sz w:val="20"/>
        </w:rPr>
        <w:t>We used a t-test to compare groups.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Statistical test choice is inappropriate.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5. Logic and Argument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5.1. Results,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Conclusion does not follow from results.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6. Figures and Tables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6.1. Results,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Figure 3 resolution is too low.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7. Ethics and Conflict of Interest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7.1. Methods,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IRB approval number is missing.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