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1. General Assessment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structure check completed.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2. Structure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No structural issues were identified.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3. Expression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Expression and language quality was not assessed in this run. Run expression check to include language quality comments.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4. Methods and Statistics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No methods/statistics issues were identified.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5. Logic and Argument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No logic/argument issues were identified.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6. Figures and Tables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No figure/table issues were identified.</w:t>
      </w:r>
    </w:p>
    <w:p>
      <w:pPr>
        <w:spacing w:before="240" w:after="80"/>
      </w:pPr>
      <w:r>
        <w:rPr>
          <w:rFonts w:ascii="Times New Roman" w:hAnsi="Times New Roman" w:eastAsia="Times New Roman"/>
          <w:b/>
          <w:i w:val="0"/>
          <w:sz w:val="28"/>
        </w:rPr>
        <w:t>7. Ethics and Conflict of Interest</w:t>
      </w:r>
    </w:p>
    <w:p>
      <w:r>
        <w:rPr>
          <w:rFonts w:ascii="Times New Roman" w:hAnsi="Times New Roman" w:eastAsia="Times New Roman"/>
          <w:b w:val="0"/>
          <w:i w:val="0"/>
          <w:sz w:val="21"/>
        </w:rPr>
        <w:t>No ethics or conflict of interest issues were identified.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