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4.odttf" ContentType="application/vnd.openxmlformats-officedocument.obfuscatedFont"/>
  <Override PartName="/word/fonts/font7.odttf" ContentType="application/vnd.openxmlformats-officedocument.obfuscatedFont"/>
  <Override PartName="/word/fonts/font13.odttf" ContentType="application/vnd.openxmlformats-officedocument.obfuscatedFont"/>
  <Override PartName="/word/fonts/font6.odttf" ContentType="application/vnd.openxmlformats-officedocument.obfuscatedFont"/>
  <Override PartName="/word/fonts/font12.odttf" ContentType="application/vnd.openxmlformats-officedocument.obfuscatedFont"/>
  <Override PartName="/word/fonts/font21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18.odttf" ContentType="application/vnd.openxmlformats-officedocument.obfuscatedFont"/>
  <Override PartName="/word/fonts/font17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50"/>
      <w:bookmarkStart w:id="1" w:name="OLE_LINK88"/>
      <w:bookmarkStart w:id="2" w:name="OLE_LINK87"/>
      <w:bookmarkStart w:id="3" w:name="OLE_LINK4"/>
      <w:bookmarkStart w:id="4" w:name="OLE_LINK56"/>
      <w:bookmarkStart w:id="5" w:name="OLE_LINK70"/>
      <w:bookmarkStart w:id="6" w:name="OLE_LINK57"/>
      <w:bookmarkStart w:id="7" w:name="OLE_LINK55"/>
      <w:bookmarkStart w:id="8" w:name="OLE_LINK71"/>
      <w:bookmarkStart w:id="9" w:name="OLE_LINK47"/>
      <w:bookmarkStart w:id="10" w:name="OLE_LINK35"/>
      <w:bookmarkStart w:id="11" w:name="OLE_LINK3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876300" cy="82804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bookmarkStart w:id="12" w:name="_GoBack"/>
      <w:bookmarkEnd w:id="12"/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OLE_LINK81"/>
      <w:bookmarkStart w:id="14" w:name="OLE_LINK86"/>
      <w:bookmarkStart w:id="15" w:name="OLE_LINK82"/>
      <w:bookmarkStart w:id="16" w:name="OLE_LINK80"/>
      <w:bookmarkStart w:id="17" w:name="_Hlk123718776"/>
      <w:bookmarkStart w:id="18" w:name="_Hlk123718996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39"/>
        <w:gridCol w:w="7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gridSpan w:val="2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gridSpan w:val="2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794" w:hRule="exact"/>
        </w:trPr>
        <w:tc>
          <w:tcPr>
            <w:tcW w:w="6968" w:type="dxa"/>
            <w:gridSpan w:val="4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>
            <w:pPr>
              <w:pStyle w:val="Normal"/>
              <w:jc w:val="center"/>
              <w:rPr>
                <w:rFonts w:ascii="B Nazanin" w:hAnsi="B Nazanin" w:cs="B Nazanin"/>
                <w:sz w:val="20"/>
              </w:rPr>
            </w:pPr>
            <w:r>
              <w:rPr>
                <w:rFonts w:ascii="B Nazanin" w:hAnsi="B Nazanin" w:cs="B Nazanin"/>
                <w:sz w:val="20"/>
                <w:sz w:val="20"/>
                <w:rtl w:val="true"/>
              </w:rPr>
              <w:t xml:space="preserve">مبلغ کل به اضافه </w:t>
            </w:r>
            <w:r>
              <w:rPr>
                <w:rFonts w:cs="B Nazanin" w:ascii="B Nazanin" w:hAnsi="B Nazanin"/>
                <w:sz w:val="20"/>
              </w:rPr>
              <w:t>N_EXTRA_BILL_OF_PERCENT</w:t>
            </w:r>
            <w:r>
              <w:rPr>
                <w:rFonts w:cs="B Nazanin" w:ascii="B Nazanin" w:hAnsi="B Nazanin"/>
                <w:sz w:val="20"/>
                <w:rtl w:val="true"/>
              </w:rPr>
              <w:t xml:space="preserve"> </w:t>
            </w:r>
            <w:r>
              <w:rPr>
                <w:rFonts w:ascii="B Nazanin" w:hAnsi="B Nazanin" w:cs="B Nazanin"/>
                <w:sz w:val="20"/>
                <w:sz w:val="20"/>
                <w:rtl w:val="true"/>
              </w:rPr>
              <w:t>درصد</w:t>
            </w:r>
          </w:p>
        </w:tc>
        <w:tc>
          <w:tcPr>
            <w:tcW w:w="3487" w:type="dxa"/>
            <w:gridSpan w:val="3"/>
            <w:tcBorders>
              <w:top w:val="nil"/>
              <w:left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B Nazanin" w:hAnsi="B Nazanin"/>
                <w:b w:val="false"/>
                <w:bCs w:val="false"/>
                <w:sz w:val="20"/>
              </w:rPr>
            </w:pPr>
            <w:bookmarkStart w:id="29" w:name="__DdeLink__912_2504241164"/>
            <w:bookmarkStart w:id="30" w:name="__DdeLink__532_2112246922"/>
            <w:bookmarkStart w:id="31" w:name="__DdeLink__545_399399739"/>
            <w:r>
              <w:rPr>
                <w:rFonts w:eastAsia="Times New Roman" w:cs="B Zar" w:ascii="B Nazanin" w:hAnsi="B Nazanin"/>
                <w:b w:val="false"/>
                <w:bCs w:val="false"/>
                <w:shadow/>
                <w:sz w:val="20"/>
              </w:rPr>
              <w:t>N_EXTRA_BILL_OF_AMOUNT</w:t>
            </w:r>
            <w:bookmarkEnd w:id="29"/>
            <w:bookmarkEnd w:id="30"/>
            <w:bookmarkEnd w:id="31"/>
          </w:p>
        </w:tc>
      </w:tr>
      <w:tr>
        <w:trPr>
          <w:trHeight w:val="454" w:hRule="exact"/>
        </w:trPr>
        <w:tc>
          <w:tcPr>
            <w:tcW w:w="10455" w:type="dxa"/>
            <w:gridSpan w:val="7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) : </w:t>
            </w:r>
            <w:bookmarkStart w:id="32" w:name="__DdeLink__619_2565606701"/>
            <w:r>
              <w:rPr>
                <w:rFonts w:cs="B Nazanin" w:ascii="Calibri" w:hAnsi="Calibri" w:asciiTheme="minorHAnsi" w:hAnsiTheme="minorHAnsi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bookmarkEnd w:id="32"/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/>
        <w:tc>
          <w:tcPr>
            <w:tcW w:w="10455" w:type="dxa"/>
            <w:gridSpan w:val="7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57" w:after="57"/>
              <w:rPr>
                <w:sz w:val="20"/>
                <w:highlight w:val="none"/>
                <w:shd w:fill="auto" w:val="clear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shd w:fill="auto" w:val="clear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0"/>
                <w:sz w:val="20"/>
                <w:szCs w:val="20"/>
                <w:shd w:fill="auto" w:val="clear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shd w:fill="auto" w:val="clear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highlight w:val="none"/>
                <w:shd w:fill="auto" w:val="clear"/>
              </w:rPr>
            </w:pPr>
            <w:r>
              <w:rPr>
                <w:rFonts w:cs="B Nazanin" w:ascii="B Nazanin" w:hAnsi="B Nazanin"/>
                <w:sz w:val="20"/>
                <w:szCs w:val="20"/>
                <w:shd w:fill="auto" w:val="clear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Fonts w:cs="B Zar" w:ascii="B Nazanin" w:hAnsi="B Nazanin"/>
          <w:b/>
          <w:bCs/>
          <w:color w:val="FF0000"/>
          <w:rtl w:val="true"/>
        </w:rPr>
        <w:t xml:space="preserve">** </w:t>
      </w:r>
      <w:r>
        <w:rPr>
          <w:rFonts w:ascii="B Nazanin" w:hAnsi="B Nazanin" w:cs="B Zar"/>
          <w:b/>
          <w:b/>
          <w:bCs/>
          <w:rtl w:val="true"/>
        </w:rPr>
        <w:t xml:space="preserve">مبلغ برات الکترونیکی صادر شده بایستی مطابق پیش فاکتور صادره باشد، درغیر این‌صورت شرکت ملّی صنایع مس ایران از پذیرش برات الکترونیکی مربوطه معذور می‌باشد و آن شرکت بایستی برات گشایش شده را ابطال نماید </w:t>
      </w:r>
      <w:r>
        <w:rPr>
          <w:rFonts w:cs="B Zar" w:ascii="B Nazanin" w:hAnsi="B Nazanin"/>
          <w:b/>
          <w:bCs/>
          <w:color w:val="FF0000"/>
          <w:rtl w:val="true"/>
        </w:rPr>
        <w:t>**</w:t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مدت زمان برات الکترونیکی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b/>
          <w:bCs/>
          <w:sz w:val="22"/>
          <w:szCs w:val="22"/>
          <w:lang w:eastAsia="en-US"/>
        </w:rPr>
        <w:t>N_PAYMENT_DEFERRAL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روز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rtl w:val="true"/>
        </w:rPr>
        <w:t>شماره قرارداد خريد در بورس کالا</w:t>
      </w:r>
      <w:r>
        <w:rPr>
          <w:rFonts w:cs="B Nazanin" w:ascii="B Nazanin" w:hAnsi="B Nazanin"/>
          <w:b w:val="false"/>
          <w:bCs w:val="false"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widowControl/>
        <w:suppressAutoHyphens w:val="true"/>
        <w:spacing w:lineRule="auto" w:line="216" w:before="57" w:after="57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Normal"/>
        <w:spacing w:lineRule="auto" w:line="276" w:before="114" w:after="114"/>
        <w:rPr/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1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خريدار مبلغ درج شده در اين پیش فاکتور را بصورت برات الکترونیکی بعنوان پيش پرداخت ارائه خواهد نمود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2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مبناي فروش محصولات شركت ملّي صنايع مس ايران </w:t>
      </w:r>
      <w:r>
        <w:rPr>
          <w:rFonts w:cs="B Nazanin" w:ascii="B Nazanin" w:hAnsi="B Nazanin"/>
          <w:sz w:val="22"/>
          <w:szCs w:val="22"/>
        </w:rPr>
        <w:t>EXWORKS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B Nazanin" w:ascii="B Nazanin" w:hAnsi="B Nazanin"/>
          <w:sz w:val="22"/>
          <w:szCs w:val="22"/>
        </w:rPr>
        <w:t>3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مهلت بارگيري کليه محصولات شرکت ملّي صنايع مس ايران اعم از کنسانتره مس، مس كاتد، کاتد ليچينگ، مفتول، كنسانتره فلزات گرانبها، سولفور موليبدن، اكسيدموليبدن، سرباره و اسيد سولفوريك طبق شرايط عمومي عرضه محصولات شرکت مس در بورس کالا مي‌باشد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 صورت عدم بارگيري محصول تا </w:t>
      </w:r>
      <w:r>
        <w:rPr>
          <w:rFonts w:cs="B Nazanin" w:ascii="B Nazanin" w:hAnsi="B Nazanin"/>
          <w:sz w:val="22"/>
          <w:szCs w:val="22"/>
          <w:lang w:eastAsia="en-US"/>
        </w:rPr>
        <w:t>N_STORAGE_DEAD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روز تقويمي پس از مهلت مجاز تحويل بورس کالا، به ميزان </w:t>
      </w:r>
      <w:r>
        <w:rPr>
          <w:rFonts w:cs="B Nazanin" w:ascii="B Nazanin" w:hAnsi="B Nazanin"/>
          <w:sz w:val="22"/>
          <w:szCs w:val="22"/>
        </w:rPr>
        <w:t>STORAGE_COST</w:t>
      </w:r>
      <w:r>
        <w:rPr>
          <w:rFonts w:cs="B Nazanin" w:ascii="B Nazanin" w:hAnsi="B Nazanin"/>
          <w:sz w:val="22"/>
          <w:szCs w:val="22"/>
          <w:rtl w:val="true"/>
        </w:rPr>
        <w:t xml:space="preserve"> 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درصد ارزش کالاي باقيمانده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>حمل نشده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>هزينه انبارداري به صورت روزشمار دريافت خواهد شد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4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کلیه هزینه‌های مربوط به برات الکترونیکی و هرگونه کارمزد بانکی به عهده خریدار می‌باشد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B Nazanin" w:ascii="B Nazanin" w:hAnsi="B Nazanin"/>
          <w:sz w:val="22"/>
          <w:szCs w:val="22"/>
        </w:rPr>
        <w:t>5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در روش برات الکترونیکی باتوجه به اختلاف سررسيد واقعي پرداخت نسبت به تاريخ صدور حواله و تاريخ سررسيد برات الکترونیکی، مبلغ کارمزد تعداد روزهای مورد اختلاف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با در نظر گرفتن نرخ 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1F2937"/>
          <w:spacing w:val="0"/>
          <w:sz w:val="22"/>
          <w:szCs w:val="22"/>
        </w:rPr>
        <w:t>3.33</w:t>
      </w:r>
      <w:r>
        <w:rPr>
          <w:rFonts w:cs="B Nazanin" w:ascii="B Nazanin" w:hAnsi="B Nazanin"/>
          <w:b w:val="false"/>
          <w:i w:val="false"/>
          <w:caps w:val="false"/>
          <w:smallCaps w:val="false"/>
          <w:color w:val="1F2937"/>
          <w:spacing w:val="0"/>
          <w:sz w:val="22"/>
          <w:szCs w:val="22"/>
          <w:rtl w:val="true"/>
        </w:rPr>
        <w:t>%</w:t>
      </w:r>
      <w:r>
        <w:rPr>
          <w:rFonts w:cs="B Nazanin" w:ascii="B Nazanin" w:hAnsi="B Nazanin"/>
          <w:sz w:val="22"/>
          <w:szCs w:val="22"/>
          <w:rtl w:val="true"/>
        </w:rPr>
        <w:t xml:space="preserve">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به ازای هرماه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 xml:space="preserve">با توجه به مابه‌التفاوت تاريخ سررسيد برات الکترونیکی </w:t>
      </w:r>
      <w:r>
        <w:rPr>
          <w:rFonts w:cs="B Nazanin" w:ascii="B Nazanin" w:hAnsi="B Nazanin"/>
          <w:sz w:val="22"/>
          <w:szCs w:val="22"/>
          <w:rtl w:val="true"/>
        </w:rPr>
        <w:t>(</w:t>
      </w:r>
      <w:r>
        <w:rPr>
          <w:rFonts w:ascii="B Nazanin" w:hAnsi="B Nazanin" w:cs="B Nazanin"/>
          <w:sz w:val="22"/>
          <w:sz w:val="22"/>
          <w:szCs w:val="22"/>
          <w:rtl w:val="true"/>
        </w:rPr>
        <w:t>براساس تاريخ صدور حواله</w:t>
      </w:r>
      <w:r>
        <w:rPr>
          <w:rFonts w:cs="B Nazanin" w:ascii="B Nazanin" w:hAnsi="B Nazanin"/>
          <w:sz w:val="22"/>
          <w:szCs w:val="22"/>
          <w:rtl w:val="true"/>
        </w:rPr>
        <w:t xml:space="preserve">) </w:t>
      </w:r>
      <w:r>
        <w:rPr>
          <w:rFonts w:ascii="B Nazanin" w:hAnsi="B Nazanin" w:cs="B Nazanin"/>
          <w:sz w:val="22"/>
          <w:sz w:val="22"/>
          <w:szCs w:val="22"/>
          <w:rtl w:val="true"/>
        </w:rPr>
        <w:t>و تاريخ سررسيد برات الکترونیکی نيز به مبلغ واحد اعتباري افزوده خواهد شد و در صورتحساب نهايی لحاظ می‌گردد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 w:before="114" w:after="114"/>
        <w:rPr/>
      </w:pPr>
      <w:r>
        <w:rPr>
          <w:rFonts w:cs="B Nazanin" w:ascii="B Nazanin" w:hAnsi="B Nazanin"/>
          <w:sz w:val="22"/>
          <w:szCs w:val="22"/>
        </w:rPr>
        <w:t>6</w:t>
      </w:r>
      <w:r>
        <w:rPr>
          <w:rFonts w:cs="B Nazanin" w:ascii="B Nazanin" w:hAnsi="B Nazanin"/>
          <w:sz w:val="22"/>
          <w:szCs w:val="22"/>
          <w:rtl w:val="true"/>
        </w:rPr>
        <w:t xml:space="preserve">. </w:t>
      </w:r>
      <w:r>
        <w:rPr>
          <w:rFonts w:ascii="B Nazanin" w:hAnsi="B Nazanin" w:cs="B Nazanin"/>
          <w:sz w:val="22"/>
          <w:sz w:val="22"/>
          <w:szCs w:val="22"/>
          <w:rtl w:val="true"/>
        </w:rPr>
        <w:t>صورتحساب شركت صنايع ملی مس ايران ملاك تسويه حساب بين فروشنده و خريدار خواهد بود و در صورت بدهکار و یا بستانکار شدن خریدار، تصفیه حساب مستقیماً با خریدار انجام خواهد شد</w:t>
      </w:r>
      <w:r>
        <w:rPr>
          <w:rFonts w:cs="B Nazanin" w:ascii="B Nazanin" w:hAnsi="B Nazanin"/>
          <w:sz w:val="22"/>
          <w:szCs w:val="22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346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tbl>
      <w:tblPr>
        <w:tblStyle w:val="TableGrid"/>
        <w:bidiVisual w:val="tru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4065" cy="87757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06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jc w:val="center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346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  <w:embedBold r:id="rId6" w:fontKey="{06014A78-CABC-4EF0-12AC-5CD89AEFDE06}"/>
  </w:font>
  <w:font w:name="Segoe UI">
    <w:charset w:val="01"/>
    <w:family w:val="roman"/>
    <w:pitch w:val="variable"/>
    <w:embedRegular r:id="rId7" w:fontKey="{07014A78-CABC-4EF0-12AC-5CD89AEFDE07}"/>
    <w:embedBold r:id="rId8" w:fontKey="{08014A78-CABC-4EF0-12AC-5CD89AEFDE08}"/>
  </w:font>
  <w:font w:name="DejaVu Sans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B Nazanin">
    <w:charset w:val="01"/>
    <w:family w:val="roman"/>
    <w:pitch w:val="variable"/>
    <w:embedRegular r:id="rId13" w:fontKey="{0D014A78-CABC-4EF0-12AC-5CD89AEFDE0D}"/>
    <w:embedBold r:id="rId14" w:fontKey="{0E014A78-CABC-4EF0-12AC-5CD89AEFDE0E}"/>
  </w:font>
  <w:font w:name="Calibri">
    <w:charset w:val="01"/>
    <w:family w:val="roman"/>
    <w:pitch w:val="variable"/>
    <w:embedRegular r:id="rId15" w:fontKey="{0F014A78-CABC-4EF0-12AC-5CD89AEFDE0F}"/>
    <w:embedBold r:id="rId16" w:fontKey="{10014A78-CABC-4EF0-12AC-5CD89AEFDE10}"/>
    <w:embedItalic r:id="rId17" w:fontKey="{11014A78-CABC-4EF0-12AC-5CD89AEFDE11}"/>
  </w:font>
  <w:font w:name="IranNastaliq">
    <w:charset w:val="01"/>
    <w:family w:val="roman"/>
    <w:pitch w:val="variable"/>
    <w:embedRegular r:id="rId18" w:fontKey="{12014A78-CABC-4EF0-12AC-5CD89AEFDE12}"/>
    <w:embedBold r:id="rId19" w:fontKey="{13014A78-CABC-4EF0-12AC-5CD89AEFDE13}"/>
  </w:font>
  <w:font w:name="B Zar">
    <w:charset w:val="01"/>
    <w:family w:val="roman"/>
    <w:pitch w:val="variable"/>
    <w:embedRegular r:id="rId20" w:fontKey="{14014A78-CABC-4EF0-12AC-5CD89AEFDE14}"/>
    <w:embedBold r:id="rId21" w:fontKey="{15014A78-CABC-4EF0-12AC-5CD89AEFDE15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center" w:pos="6376" w:leader="none"/>
        <w:tab w:val="right" w:pos="10204" w:leader="none"/>
      </w:tabs>
      <w:rPr>
        <w:rFonts w:cs="B Zar"/>
        <w:b/>
        <w:bCs/>
        <w:shadow/>
        <w:sz w:val="22"/>
        <w:szCs w:val="22"/>
      </w:rPr>
    </w:pP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آدرس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تهران</w:t>
    </w:r>
    <w:r>
      <w:rPr>
        <w:rFonts w:cs="B Zar"/>
        <w:b/>
        <w:bCs/>
        <w:shadow/>
        <w:sz w:val="20"/>
        <w:szCs w:val="20"/>
        <w:rtl w:val="true"/>
      </w:rPr>
      <w:t>-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خيابان ولي عصر</w:t>
    </w:r>
    <w:r>
      <w:rPr>
        <w:rFonts w:cs="B Zar"/>
        <w:b/>
        <w:bCs/>
        <w:shadow/>
        <w:sz w:val="20"/>
        <w:szCs w:val="20"/>
        <w:rtl w:val="true"/>
      </w:rPr>
      <w:t>(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عج</w:t>
    </w:r>
    <w:r>
      <w:rPr>
        <w:rFonts w:cs="B Zar"/>
        <w:b/>
        <w:bCs/>
        <w:shadow/>
        <w:sz w:val="20"/>
        <w:szCs w:val="20"/>
        <w:rtl w:val="true"/>
      </w:rPr>
      <w:t>)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نرسيده به پارك ساعي، پلاك </w:t>
    </w:r>
    <w:r>
      <w:rPr>
        <w:rFonts w:cs="B Zar"/>
        <w:b/>
        <w:bCs/>
        <w:shadow/>
        <w:sz w:val="20"/>
        <w:szCs w:val="20"/>
      </w:rPr>
      <w:t>2161</w:t>
    </w:r>
    <w:r>
      <w:rPr>
        <w:rFonts w:cs="B Zar"/>
        <w:rtl w:val="true"/>
      </w:rPr>
      <w:tab/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كد پستي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Cs/>
        <w:shadow/>
        <w:sz w:val="20"/>
        <w:szCs w:val="20"/>
      </w:rPr>
      <w:t>1511813311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 xml:space="preserve">Website: </w:t>
    </w:r>
    <w:hyperlink r:id="rId1">
      <w:r>
        <w:rPr>
          <w:rStyle w:val="ListLabel1"/>
          <w:rFonts w:cs="B Zar" w:ascii="Arial" w:hAnsi="Arial"/>
          <w:b/>
          <w:bCs/>
          <w:shadow/>
          <w:sz w:val="22"/>
          <w:szCs w:val="22"/>
        </w:rPr>
        <w:t>www.nicico.com</w:t>
      </w:r>
    </w:hyperlink>
  </w:p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right" w:pos="10204" w:leader="none"/>
      </w:tabs>
      <w:rPr>
        <w:rFonts w:ascii="Arial" w:hAnsi="Arial" w:cs="B Zar"/>
        <w:sz w:val="22"/>
        <w:szCs w:val="22"/>
      </w:rPr>
    </w:pP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تلفن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82138000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b/>
        <w:bCs/>
        <w:shadow/>
        <w:sz w:val="22"/>
        <w:szCs w:val="22"/>
        <w:rtl w:val="true"/>
      </w:rPr>
      <w:t xml:space="preserve"> </w:t>
    </w: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، فاكس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88102822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>Email: Office@nicico.com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459"/>
      <w:gridCol w:w="5655"/>
      <w:gridCol w:w="2355"/>
    </w:tblGrid>
    <w:tr>
      <w:trPr>
        <w:trHeight w:val="20" w:hRule="atLeast"/>
      </w:trPr>
      <w:tc>
        <w:tcPr>
          <w:tcW w:w="2459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برات الکترونیکی</w:t>
          </w:r>
        </w:p>
      </w:tc>
      <w:tc>
        <w:tcPr>
          <w:tcW w:w="5655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5655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nicico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C895-490E-4B38-AD65-1FFE71C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Application>LibreOffice/24.2.7.2$Linux_X86_64 LibreOffice_project/420$Build-2</Application>
  <AppVersion>15.0000</AppVersion>
  <Pages>2</Pages>
  <Words>401</Words>
  <Characters>2094</Characters>
  <CharactersWithSpaces>2459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2026-08-17T09:41:18Z</dcterms:modified>
  <cp:revision>98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