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0"/>
      <w:bookmarkStart w:id="1" w:name="OLE_LINK56"/>
      <w:bookmarkStart w:id="2" w:name="OLE_LINK87"/>
      <w:bookmarkStart w:id="3" w:name="OLE_LINK70"/>
      <w:bookmarkStart w:id="4" w:name="OLE_LINK88"/>
      <w:bookmarkStart w:id="5" w:name="OLE_LINK4"/>
      <w:bookmarkStart w:id="6" w:name="OLE_LINK71"/>
      <w:bookmarkStart w:id="7" w:name="OLE_LINK3"/>
      <w:bookmarkStart w:id="8" w:name="OLE_LINK35"/>
      <w:bookmarkStart w:id="9" w:name="OLE_LINK55"/>
      <w:bookmarkStart w:id="10" w:name="OLE_LINK57"/>
      <w:bookmarkStart w:id="11" w:name="OLE_LINK47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1"/>
      <w:bookmarkStart w:id="14" w:name="OLE_LINK86"/>
      <w:bookmarkStart w:id="15" w:name="OLE_LINK82"/>
      <w:bookmarkStart w:id="16" w:name="OLE_LINK80"/>
      <w:bookmarkStart w:id="17" w:name="_Hlk123718776"/>
      <w:bookmarkStart w:id="18" w:name="_Hlk123718996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) : </w:t>
            </w:r>
            <w:bookmarkStart w:id="29" w:name="__DdeLink__619_2565606701"/>
            <w:r>
              <w:rPr>
                <w:rFonts w:cs="B Nazanin" w:ascii="Calibri" w:hAnsi="Calibri" w:asciiTheme="minorHAnsi" w:hAnsiTheme="minorHAnsi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bookmarkEnd w:id="29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/>
        <w:rPr>
          <w:rFonts w:cs="B Zar"/>
          <w:b/>
          <w:bCs/>
        </w:rPr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برات الکترونیکی صادر شده بایستی مطابق پیش فاکتور صادره باشد، درغیر این‌صورت شرکت ملّی صنایع مس ایران از پذیرش برات الکترونیکی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برات الکترونیکی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b w:val="false"/>
          <w:bCs w:val="false"/>
        </w:rPr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 w:val="false"/>
          <w:bCs w:val="false"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 w:before="114" w:after="114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1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خريدار مبلغ درج شده در اين پیش فاکتور را بصورت برات الکترونیکی بعنوان پيش پرداخت ارائه خواهد نمود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2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2"/>
          <w:szCs w:val="22"/>
        </w:rPr>
        <w:t>EXWORKS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3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</w:rPr>
        <w:t>N_PAYMENT_DEFERRAL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2"/>
          <w:szCs w:val="22"/>
        </w:rPr>
        <w:t>STORAGE_COST</w:t>
      </w:r>
      <w:r>
        <w:rPr>
          <w:rFonts w:cs="B Nazanin" w:ascii="B Nazanin" w:hAnsi="B Nazanin"/>
          <w:sz w:val="22"/>
          <w:szCs w:val="22"/>
          <w:rtl w:val="true"/>
        </w:rPr>
        <w:t xml:space="preserve"> 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حمل نشده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4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کلیه هزینه‌های مربوط به برات الکترونیکی و هرگونه کارمزد بانکی به عهده خریدار می‌باشد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5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روش برات الکترونیکی باتوجه به اختلاف سررسيد واقعي پرداخت نسبت به تاريخ صدور حواله و تاريخ سررسيد برات الکترونیکی، مبلغ کارمزد تعداد روزهای مورد اختلاف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در نظر گرفتن نرخ </w:t>
      </w:r>
      <w:r>
        <w:rPr>
          <w:rFonts w:cs="B Nazanin" w:ascii="B Nazanin" w:hAnsi="B Nazanin"/>
          <w:sz w:val="22"/>
          <w:szCs w:val="22"/>
        </w:rPr>
        <w:t>3/33</w:t>
      </w:r>
      <w:r>
        <w:rPr>
          <w:rFonts w:cs="B Nazanin" w:ascii="B Nazanin" w:hAnsi="B Nazanin"/>
          <w:sz w:val="22"/>
          <w:szCs w:val="22"/>
          <w:rtl w:val="true"/>
        </w:rPr>
        <w:t>%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به ازای هرماه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توجه به مابه‌التفاوت تاريخ سررسيد برات الکترونیکی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براساس تاريخ صدور حواله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و تاريخ سررسيد برات الکترونیکی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6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برات الکترونیکی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1191</TotalTime>
  <Application>LibreOffice/24.2.7.2$Linux_X86_64 LibreOffice_project/420$Build-2</Application>
  <AppVersion>15.0000</AppVersion>
  <Pages>1</Pages>
  <Words>393</Words>
  <Characters>2017</Characters>
  <CharactersWithSpaces>2377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2026-08-11T10:58:50Z</dcterms:modified>
  <cp:revision>93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