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71DC7" w14:textId="44014434" w:rsidR="00E01C47" w:rsidRDefault="007206F2" w:rsidP="009E1087">
      <w:pPr>
        <w:pStyle w:val="ColingTitle"/>
        <w:rPr>
          <w:lang w:eastAsia="tr-TR"/>
        </w:rPr>
      </w:pPr>
      <w:r>
        <w:rPr>
          <w:noProof/>
          <w:lang w:val="en-US" w:eastAsia="en-US"/>
        </w:rPr>
        <mc:AlternateContent>
          <mc:Choice Requires="wps">
            <w:drawing>
              <wp:anchor distT="0" distB="0" distL="114300" distR="114300" simplePos="0" relativeHeight="251657216" behindDoc="0" locked="0" layoutInCell="1" allowOverlap="1" wp14:anchorId="46B990A7" wp14:editId="57EF3B38">
                <wp:simplePos x="0" y="0"/>
                <wp:positionH relativeFrom="column">
                  <wp:align>center</wp:align>
                </wp:positionH>
                <wp:positionV relativeFrom="margin">
                  <wp:align>bottom</wp:align>
                </wp:positionV>
                <wp:extent cx="5760085" cy="374650"/>
                <wp:effectExtent l="0" t="254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74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DD4787" w14:textId="77777777" w:rsidR="00D9723C" w:rsidRDefault="00D9723C" w:rsidP="008E234A">
                            <w:pPr>
                              <w:pStyle w:val="ColingFootnotetext"/>
                            </w:pPr>
                            <w:r>
                              <w:t>Place licence statement here for the camera-ready version, see Section “Licence Statement” of the instructions for preparing a manuscript (coling2014.pdf).</w:t>
                            </w:r>
                          </w:p>
                        </w:txbxContent>
                      </wps:txbx>
                      <wps:bodyPr rot="0" vert="horz" wrap="square" lIns="0" tIns="4572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453.55pt;height:29.5pt;z-index:251657216;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" stroked="f">
                <v:textbox inset="0,,0,0">
                  <w:txbxContent>
                    <w:p w14:paraId="34DD4787" w14:textId="77777777" w:rsidR="00D9723C" w:rsidRDefault="00D9723C" w:rsidP="008E234A">
                      <w:pPr>
                        <w:pStyle w:val="ColingFootnotetext"/>
                      </w:pPr>
                      <w:r>
                        <w:t>Place licence statement here for the camera-ready version, see Section “Licence Statement” of the instructions for preparing a manuscript (coling2014.pdf).</w:t>
                      </w:r>
                    </w:p>
                  </w:txbxContent>
                </v:textbox>
                <w10:wrap type="square" anchory="margin"/>
              </v:shape>
            </w:pict>
          </mc:Fallback>
        </mc:AlternateContent>
      </w:r>
      <w:r w:rsidR="00DB276F">
        <w:rPr>
          <w:noProof/>
          <w:lang w:val="en-US" w:eastAsia="en-US"/>
        </w:rPr>
        <w:t>Incorporating Corpus Term Frequency into TF.IDF for Imrpoved Keyphrase Extraction Accuracy</w:t>
      </w:r>
    </w:p>
    <w:p w14:paraId="19CE4817" w14:textId="77777777" w:rsidR="00E01C47" w:rsidRDefault="00E01C47" w:rsidP="00E01C47">
      <w:pPr>
        <w:pStyle w:val="ColingText"/>
        <w:rPr>
          <w:lang w:eastAsia="tr-TR"/>
        </w:rPr>
      </w:pPr>
    </w:p>
    <w:p w14:paraId="19B06A4E" w14:textId="77777777" w:rsidR="00E01C47" w:rsidRPr="00C81A65" w:rsidRDefault="00E01C47" w:rsidP="00E01C47">
      <w:pPr>
        <w:pStyle w:val="Coling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145524CC" w14:textId="77777777" w:rsidTr="000C13F3">
        <w:tc>
          <w:tcPr>
            <w:tcW w:w="3095" w:type="dxa"/>
          </w:tcPr>
          <w:p w14:paraId="1FEB04E9" w14:textId="77777777" w:rsidR="00E01C47" w:rsidRDefault="00C30C59" w:rsidP="00EF4F47">
            <w:pPr>
              <w:pStyle w:val="ColingAuthor"/>
              <w:rPr>
                <w:lang w:eastAsia="tr-TR"/>
              </w:rPr>
            </w:pPr>
            <w:r>
              <w:rPr>
                <w:lang w:eastAsia="tr-TR"/>
              </w:rPr>
              <w:t>[name]</w:t>
            </w:r>
          </w:p>
          <w:p w14:paraId="16281891" w14:textId="77777777" w:rsidR="00E01C47" w:rsidRDefault="00C30C59" w:rsidP="00EF4F47">
            <w:pPr>
              <w:pStyle w:val="ColingAddress"/>
              <w:rPr>
                <w:lang w:eastAsia="tr-TR"/>
              </w:rPr>
            </w:pPr>
            <w:r>
              <w:rPr>
                <w:lang w:eastAsia="tr-TR"/>
              </w:rPr>
              <w:t>[address]</w:t>
            </w:r>
          </w:p>
          <w:p w14:paraId="1B4335D0" w14:textId="77777777" w:rsidR="00E01C47" w:rsidRDefault="00C30C59" w:rsidP="00EF4F47">
            <w:pPr>
              <w:pStyle w:val="ColingAddress"/>
              <w:rPr>
                <w:lang w:eastAsia="tr-TR"/>
              </w:rPr>
            </w:pPr>
            <w:r>
              <w:rPr>
                <w:lang w:eastAsia="tr-TR"/>
              </w:rPr>
              <w:t>[address]</w:t>
            </w:r>
          </w:p>
          <w:p w14:paraId="7C743CCF" w14:textId="77777777" w:rsidR="00E01C47" w:rsidRPr="00C30C59" w:rsidRDefault="00C30C59" w:rsidP="00EF4F47">
            <w:pPr>
              <w:pStyle w:val="ColingAddress"/>
              <w:rPr>
                <w:lang w:eastAsia="tr-TR"/>
              </w:rPr>
            </w:pPr>
            <w:r>
              <w:rPr>
                <w:lang w:eastAsia="tr-TR"/>
              </w:rPr>
              <w:t>[address]</w:t>
            </w:r>
          </w:p>
          <w:p w14:paraId="124DBFA6" w14:textId="77777777" w:rsidR="00E01C47" w:rsidRPr="00C30C59" w:rsidRDefault="00C30C59" w:rsidP="00EF4F47">
            <w:pPr>
              <w:pStyle w:val="ColingEmail"/>
              <w:rPr>
                <w:lang w:eastAsia="tr-TR"/>
              </w:rPr>
            </w:pPr>
            <w:r w:rsidRPr="00C30C59">
              <w:rPr>
                <w:lang w:eastAsia="tr-TR"/>
              </w:rPr>
              <w:t>[e-mail]</w:t>
            </w:r>
          </w:p>
        </w:tc>
        <w:tc>
          <w:tcPr>
            <w:tcW w:w="3096" w:type="dxa"/>
          </w:tcPr>
          <w:p w14:paraId="4BBDECE4" w14:textId="77777777" w:rsidR="00E01C47" w:rsidRPr="00C30C59" w:rsidRDefault="00C30C59" w:rsidP="00EF4F47">
            <w:pPr>
              <w:pStyle w:val="ColingAuthor"/>
              <w:rPr>
                <w:lang w:eastAsia="tr-TR"/>
              </w:rPr>
            </w:pPr>
            <w:r>
              <w:rPr>
                <w:lang w:eastAsia="tr-TR"/>
              </w:rPr>
              <w:t>[name]</w:t>
            </w:r>
          </w:p>
          <w:p w14:paraId="5035B966" w14:textId="77777777" w:rsidR="00E01C47" w:rsidRPr="00C30C59" w:rsidRDefault="00C30C59" w:rsidP="00EF4F47">
            <w:pPr>
              <w:pStyle w:val="ColingAddress"/>
              <w:rPr>
                <w:lang w:eastAsia="tr-TR"/>
              </w:rPr>
            </w:pPr>
            <w:r>
              <w:rPr>
                <w:lang w:eastAsia="tr-TR"/>
              </w:rPr>
              <w:t>[address]</w:t>
            </w:r>
          </w:p>
          <w:p w14:paraId="38165E57" w14:textId="77777777" w:rsidR="00E01C47" w:rsidRPr="00C30C59" w:rsidRDefault="00C30C59" w:rsidP="00EF4F47">
            <w:pPr>
              <w:pStyle w:val="ColingAddress"/>
              <w:rPr>
                <w:lang w:eastAsia="tr-TR"/>
              </w:rPr>
            </w:pPr>
            <w:r>
              <w:rPr>
                <w:lang w:eastAsia="tr-TR"/>
              </w:rPr>
              <w:t>[address]</w:t>
            </w:r>
          </w:p>
          <w:p w14:paraId="4D2DF2BE" w14:textId="77777777" w:rsidR="00E01C47" w:rsidRPr="00C30C59" w:rsidRDefault="00C30C59" w:rsidP="00EF4F47">
            <w:pPr>
              <w:pStyle w:val="ColingAddress"/>
              <w:rPr>
                <w:lang w:eastAsia="tr-TR"/>
              </w:rPr>
            </w:pPr>
            <w:r>
              <w:rPr>
                <w:lang w:eastAsia="tr-TR"/>
              </w:rPr>
              <w:t>[address]</w:t>
            </w:r>
          </w:p>
          <w:p w14:paraId="76C63345" w14:textId="77777777" w:rsidR="00E01C47" w:rsidRPr="00C30C59" w:rsidRDefault="00C30C59" w:rsidP="00EF4F47">
            <w:pPr>
              <w:pStyle w:val="ColingEmail"/>
              <w:rPr>
                <w:lang w:eastAsia="tr-TR"/>
              </w:rPr>
            </w:pPr>
            <w:r w:rsidRPr="00C30C59">
              <w:rPr>
                <w:lang w:eastAsia="tr-TR"/>
              </w:rPr>
              <w:t>[e-mail]</w:t>
            </w:r>
          </w:p>
        </w:tc>
        <w:tc>
          <w:tcPr>
            <w:tcW w:w="3096" w:type="dxa"/>
          </w:tcPr>
          <w:p w14:paraId="2CA9CC83" w14:textId="77777777" w:rsidR="00E01C47" w:rsidRPr="00C30C59" w:rsidRDefault="00C30C59" w:rsidP="00EF4F47">
            <w:pPr>
              <w:pStyle w:val="ColingAuthor"/>
              <w:rPr>
                <w:lang w:eastAsia="tr-TR"/>
              </w:rPr>
            </w:pPr>
            <w:r>
              <w:rPr>
                <w:lang w:eastAsia="tr-TR"/>
              </w:rPr>
              <w:t>[name]</w:t>
            </w:r>
          </w:p>
          <w:p w14:paraId="09178D8B" w14:textId="77777777" w:rsidR="00E01C47" w:rsidRPr="00C30C59" w:rsidRDefault="00C30C59" w:rsidP="00EF4F47">
            <w:pPr>
              <w:pStyle w:val="ColingAddress"/>
              <w:rPr>
                <w:lang w:eastAsia="tr-TR"/>
              </w:rPr>
            </w:pPr>
            <w:r>
              <w:rPr>
                <w:lang w:eastAsia="tr-TR"/>
              </w:rPr>
              <w:t>[address]</w:t>
            </w:r>
          </w:p>
          <w:p w14:paraId="679DB9B4" w14:textId="77777777" w:rsidR="00E01C47" w:rsidRPr="00C30C59" w:rsidRDefault="00C30C59" w:rsidP="00EF4F47">
            <w:pPr>
              <w:pStyle w:val="ColingAddress"/>
              <w:rPr>
                <w:lang w:eastAsia="tr-TR"/>
              </w:rPr>
            </w:pPr>
            <w:r>
              <w:rPr>
                <w:lang w:eastAsia="tr-TR"/>
              </w:rPr>
              <w:t>[address]</w:t>
            </w:r>
          </w:p>
          <w:p w14:paraId="28EA0EAD" w14:textId="77777777" w:rsidR="00E01C47" w:rsidRPr="00C30C59" w:rsidRDefault="00C30C59" w:rsidP="00EF4F47">
            <w:pPr>
              <w:pStyle w:val="ColingAddress"/>
              <w:rPr>
                <w:lang w:eastAsia="tr-TR"/>
              </w:rPr>
            </w:pPr>
            <w:r>
              <w:rPr>
                <w:lang w:eastAsia="tr-TR"/>
              </w:rPr>
              <w:t>[address]</w:t>
            </w:r>
          </w:p>
          <w:p w14:paraId="3641C5FC" w14:textId="77777777" w:rsidR="00E01C47" w:rsidRPr="00C30C59" w:rsidRDefault="00C30C59" w:rsidP="00EF4F47">
            <w:pPr>
              <w:pStyle w:val="ColingEmail"/>
              <w:rPr>
                <w:lang w:eastAsia="tr-TR"/>
              </w:rPr>
            </w:pPr>
            <w:r w:rsidRPr="00C30C59">
              <w:rPr>
                <w:lang w:eastAsia="tr-TR"/>
              </w:rPr>
              <w:t>[e-mail]</w:t>
            </w:r>
          </w:p>
        </w:tc>
      </w:tr>
    </w:tbl>
    <w:p w14:paraId="21716E31" w14:textId="77777777" w:rsidR="00E01C47" w:rsidRPr="00C30C59" w:rsidRDefault="00E01C47" w:rsidP="00E01C47">
      <w:pPr>
        <w:pStyle w:val="Coling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74FD534A" w14:textId="77777777">
        <w:trPr>
          <w:trHeight w:val="335"/>
          <w:jc w:val="center"/>
        </w:trPr>
        <w:tc>
          <w:tcPr>
            <w:tcW w:w="3380" w:type="dxa"/>
            <w:tcBorders>
              <w:top w:val="nil"/>
              <w:left w:val="nil"/>
              <w:bottom w:val="nil"/>
              <w:right w:val="nil"/>
            </w:tcBorders>
          </w:tcPr>
          <w:p w14:paraId="179D1D9A" w14:textId="77777777" w:rsidR="00E01C47" w:rsidRPr="00C30C59" w:rsidRDefault="00E01C47" w:rsidP="00EF4F47">
            <w:pPr>
              <w:pStyle w:val="ColingText"/>
            </w:pPr>
          </w:p>
        </w:tc>
        <w:tc>
          <w:tcPr>
            <w:tcW w:w="4677" w:type="dxa"/>
            <w:tcBorders>
              <w:top w:val="nil"/>
              <w:left w:val="nil"/>
              <w:bottom w:val="nil"/>
              <w:right w:val="nil"/>
            </w:tcBorders>
          </w:tcPr>
          <w:p w14:paraId="01856195" w14:textId="77777777" w:rsidR="00E01C47" w:rsidRPr="00C30C59" w:rsidRDefault="00E01C47" w:rsidP="00EF4F47">
            <w:pPr>
              <w:pStyle w:val="ColingText"/>
            </w:pPr>
          </w:p>
        </w:tc>
      </w:tr>
    </w:tbl>
    <w:p w14:paraId="357126A2" w14:textId="77777777" w:rsidR="00E01C47" w:rsidRPr="00C30C59" w:rsidRDefault="00E01C47" w:rsidP="00E01C47">
      <w:pPr>
        <w:pStyle w:val="ColingText"/>
      </w:pPr>
    </w:p>
    <w:p w14:paraId="50E3F7AE" w14:textId="77777777" w:rsidR="00E01C47" w:rsidRPr="00C30C59" w:rsidRDefault="00E01C47" w:rsidP="00AE4B27">
      <w:pPr>
        <w:pStyle w:val="ColingTextIndent"/>
        <w:sectPr w:rsidR="00E01C47" w:rsidRPr="00C30C59" w:rsidSect="00EF4F47">
          <w:pgSz w:w="11907" w:h="16840" w:code="9"/>
          <w:pgMar w:top="1418" w:right="1418" w:bottom="1418" w:left="1418" w:header="709" w:footer="709" w:gutter="0"/>
          <w:cols w:space="340"/>
        </w:sectPr>
      </w:pPr>
    </w:p>
    <w:p w14:paraId="54A1BE74" w14:textId="77777777" w:rsidR="00E01C47" w:rsidRPr="00256DCF" w:rsidRDefault="007206F2" w:rsidP="00E01C47">
      <w:pPr>
        <w:pStyle w:val="ColingAbstractHeading"/>
        <w:numPr>
          <w:ilvl w:val="0"/>
          <w:numId w:val="0"/>
        </w:numPr>
        <w:rPr>
          <w:lang w:val="it-IT"/>
        </w:rPr>
      </w:pPr>
      <w:r>
        <w:rPr>
          <w:noProof/>
          <w:lang w:val="en-US" w:eastAsia="en-US"/>
        </w:rPr>
        <w:lastRenderedPageBreak/>
        <mc:AlternateContent>
          <mc:Choice Requires="wps">
            <w:drawing>
              <wp:anchor distT="0" distB="0" distL="114300" distR="114300" simplePos="0" relativeHeight="251658240" behindDoc="0" locked="0" layoutInCell="1" allowOverlap="1" wp14:anchorId="0FBFCA68" wp14:editId="4BC4C34F">
                <wp:simplePos x="0" y="0"/>
                <wp:positionH relativeFrom="page">
                  <wp:posOffset>900430</wp:posOffset>
                </wp:positionH>
                <wp:positionV relativeFrom="page">
                  <wp:posOffset>9432925</wp:posOffset>
                </wp:positionV>
                <wp:extent cx="720090" cy="635"/>
                <wp:effectExtent l="0" t="0" r="17780"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635"/>
                        </a:xfrm>
                        <a:prstGeom prst="rect">
                          <a:avLst/>
                        </a:prstGeom>
                        <a:solidFill>
                          <a:srgbClr val="FFFFFF"/>
                        </a:solidFill>
                        <a:ln w="9525">
                          <a:solidFill>
                            <a:srgbClr val="000000"/>
                          </a:solidFill>
                          <a:miter lim="800000"/>
                          <a:headEnd/>
                          <a:tailEnd/>
                        </a:ln>
                      </wps:spPr>
                      <wps:txbx>
                        <w:txbxContent>
                          <w:p w14:paraId="33AF5CAD" w14:textId="77777777" w:rsidR="00D9723C" w:rsidRDefault="00D9723C" w:rsidP="003847E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0.9pt;margin-top:742.75pt;width:56.7pt;height:.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">
                <v:textbox>
                  <w:txbxContent>
                    <w:p w14:paraId="33AF5CAD" w14:textId="77777777" w:rsidR="00D9723C" w:rsidRDefault="00D9723C" w:rsidP="003847ED"/>
                  </w:txbxContent>
                </v:textbox>
                <w10:wrap anchorx="page" anchory="page"/>
              </v:shape>
            </w:pict>
          </mc:Fallback>
        </mc:AlternateContent>
      </w:r>
      <w:r w:rsidR="00E01C47" w:rsidRPr="00256DCF">
        <w:rPr>
          <w:lang w:val="it-IT"/>
        </w:rPr>
        <w:t>Abstract</w:t>
      </w:r>
    </w:p>
    <w:p w14:paraId="5C1445BA" w14:textId="75ACB927" w:rsidR="00A20AA7" w:rsidRPr="00E40467" w:rsidRDefault="00A20AA7" w:rsidP="00A20AA7">
      <w:pPr>
        <w:jc w:val="both"/>
        <w:rPr>
          <w:rFonts w:ascii="Times" w:hAnsi="Times"/>
          <w:color w:val="222222"/>
          <w:shd w:val="clear" w:color="auto" w:fill="FFFFFF"/>
        </w:rPr>
      </w:pPr>
      <w:r w:rsidRPr="00E40467">
        <w:rPr>
          <w:rFonts w:ascii="Times" w:hAnsi="Times"/>
          <w:color w:val="222222"/>
          <w:shd w:val="clear" w:color="auto" w:fill="FFFFFF"/>
        </w:rPr>
        <w:t>Keyphrase extraction is one of the fundamental tasks in natural language processing. Currently</w:t>
      </w:r>
      <w:r w:rsidRPr="00E40467">
        <w:rPr>
          <w:rFonts w:ascii="Times" w:hAnsi="Times"/>
          <w:color w:val="222222"/>
        </w:rPr>
        <w:t xml:space="preserve"> term-frequency inverse-document-frequency (</w:t>
      </w:r>
      <w:r w:rsidRPr="00E40467">
        <w:rPr>
          <w:rFonts w:ascii="Times" w:hAnsi="Times"/>
          <w:color w:val="222222"/>
          <w:shd w:val="clear" w:color="auto" w:fill="FFFFFF"/>
        </w:rPr>
        <w:t xml:space="preserve">TF.IDF) serves as a competitive baseline for unsupervised keyphrase extraction and a </w:t>
      </w:r>
      <w:r>
        <w:rPr>
          <w:rFonts w:ascii="Times" w:hAnsi="Times"/>
          <w:color w:val="222222"/>
          <w:shd w:val="clear" w:color="auto" w:fill="FFFFFF"/>
        </w:rPr>
        <w:t>fundamental</w:t>
      </w:r>
      <w:r w:rsidRPr="00E40467">
        <w:rPr>
          <w:rFonts w:ascii="Times" w:hAnsi="Times"/>
          <w:color w:val="222222"/>
          <w:shd w:val="clear" w:color="auto" w:fill="FFFFFF"/>
        </w:rPr>
        <w:t xml:space="preserve"> feature for more sophisticated supervised and unsupervised keyphrase extraction algorithms. It is one of the most widely used </w:t>
      </w:r>
      <w:r>
        <w:rPr>
          <w:rFonts w:ascii="Times" w:hAnsi="Times"/>
          <w:color w:val="222222"/>
          <w:shd w:val="clear" w:color="auto" w:fill="FFFFFF"/>
        </w:rPr>
        <w:t xml:space="preserve">methods </w:t>
      </w:r>
      <w:r w:rsidRPr="00E40467">
        <w:rPr>
          <w:rFonts w:ascii="Times" w:hAnsi="Times"/>
          <w:color w:val="222222"/>
          <w:shd w:val="clear" w:color="auto" w:fill="FFFFFF"/>
        </w:rPr>
        <w:t xml:space="preserve"> in practice due to its accuracy, computational efficiency and ease of implementation. </w:t>
      </w:r>
    </w:p>
    <w:p w14:paraId="10C3C564" w14:textId="7E481396" w:rsidR="00E01C47" w:rsidRPr="00A20AA7" w:rsidRDefault="00A20AA7" w:rsidP="00CC5BE5">
      <w:pPr>
        <w:pStyle w:val="ColingTextIndent"/>
        <w:rPr>
          <w:szCs w:val="22"/>
          <w:shd w:val="clear" w:color="auto" w:fill="FFFFFF"/>
        </w:rPr>
      </w:pPr>
      <w:r w:rsidRPr="00E40467">
        <w:rPr>
          <w:shd w:val="clear" w:color="auto" w:fill="FFFFFF"/>
        </w:rPr>
        <w:t xml:space="preserve">TF.IDF uses two statistical features of a term: the number of times it occurs in one document and the portion of documents in the corpus </w:t>
      </w:r>
      <w:r>
        <w:rPr>
          <w:shd w:val="clear" w:color="auto" w:fill="FFFFFF"/>
        </w:rPr>
        <w:t>which</w:t>
      </w:r>
      <w:r w:rsidRPr="00E40467">
        <w:rPr>
          <w:shd w:val="clear" w:color="auto" w:fill="FFFFFF"/>
        </w:rPr>
        <w:t xml:space="preserve"> contain it. We augment the TF.IDF product by incorporating the number of times a term occurs in all documents in the corpus and show that our proposed term weighting</w:t>
      </w:r>
      <w:r>
        <w:rPr>
          <w:shd w:val="clear" w:color="auto" w:fill="FFFFFF"/>
        </w:rPr>
        <w:t xml:space="preserve"> function outperforms TF.IDF in </w:t>
      </w:r>
      <w:r w:rsidRPr="00E40467">
        <w:rPr>
          <w:shd w:val="clear" w:color="auto" w:fill="FFFFFF"/>
        </w:rPr>
        <w:t>keyphrase extraction</w:t>
      </w:r>
      <w:r>
        <w:rPr>
          <w:shd w:val="clear" w:color="auto" w:fill="FFFFFF"/>
        </w:rPr>
        <w:t xml:space="preserve"> accuracy</w:t>
      </w:r>
      <w:r w:rsidRPr="00E40467">
        <w:rPr>
          <w:shd w:val="clear" w:color="auto" w:fill="FFFFFF"/>
        </w:rPr>
        <w:t xml:space="preserve"> </w:t>
      </w:r>
      <w:r>
        <w:rPr>
          <w:shd w:val="clear" w:color="auto" w:fill="FFFFFF"/>
        </w:rPr>
        <w:t>in</w:t>
      </w:r>
      <w:r w:rsidRPr="00E40467">
        <w:rPr>
          <w:shd w:val="clear" w:color="auto" w:fill="FFFFFF"/>
        </w:rPr>
        <w:t xml:space="preserve"> </w:t>
      </w:r>
      <w:r>
        <w:rPr>
          <w:shd w:val="clear" w:color="auto" w:fill="FFFFFF"/>
        </w:rPr>
        <w:t>multiple datasets</w:t>
      </w:r>
      <w:r w:rsidRPr="00E40467">
        <w:rPr>
          <w:shd w:val="clear" w:color="auto" w:fill="FFFFFF"/>
        </w:rPr>
        <w:t>.</w:t>
      </w:r>
    </w:p>
    <w:p w14:paraId="4178587B" w14:textId="77777777" w:rsidR="00E01C47" w:rsidRPr="00EF4B1F" w:rsidRDefault="00C30C59" w:rsidP="00E01C47">
      <w:pPr>
        <w:pStyle w:val="ColingSection"/>
      </w:pPr>
      <w:r>
        <w:t>Introduction</w:t>
      </w:r>
    </w:p>
    <w:p w14:paraId="546BC082" w14:textId="77777777" w:rsidR="0023533C" w:rsidRDefault="0023533C" w:rsidP="007337A8">
      <w:pPr>
        <w:pStyle w:val="ColingTextIndent"/>
        <w:ind w:firstLine="0"/>
        <w:rPr>
          <w:szCs w:val="22"/>
        </w:rPr>
      </w:pPr>
      <w:r w:rsidRPr="00E420D9">
        <w:t xml:space="preserve">Keyphrase extraction is the process of distinguishing terms in a text that best signify its meaning and the topics it is about. Designing accurate and efficient keyphrase extraction algorithms is one of the most important tasks in natural language processing. Keyphrase extraction is used in semantic tagging [15], document clustering [4,22] and classification [8]. In content-based recommender systems, extracted keywords are used to generate personalized recommendations [14]. In advertisement keyphrases are used to take into account the ad’s context [24]. Keyphrases extracted from bioinformatics texts are used to build gene interaction networks [13]. Keyphrase extraction has also been used for facilitating contextual search [2] and building ontologies [3]. These diverse uses indicate keyphrase extraction as an integral part of many tools and algorithms that we have constructed for </w:t>
      </w:r>
      <w:r w:rsidRPr="00E420D9">
        <w:rPr>
          <w:szCs w:val="22"/>
        </w:rPr>
        <w:t>managing the vast, and ever increasing, amount of information shared as unstructured text.</w:t>
      </w:r>
    </w:p>
    <w:p w14:paraId="7CAF2D5D" w14:textId="77777777" w:rsidR="0023533C" w:rsidRPr="00E420D9" w:rsidRDefault="0023533C" w:rsidP="0023533C">
      <w:pPr>
        <w:pStyle w:val="ColingTextIndent"/>
      </w:pPr>
      <w:r>
        <w:t>O</w:t>
      </w:r>
      <w:r w:rsidRPr="00E420D9">
        <w:t xml:space="preserve">ne of the most enduring and still widely used techniques for keyphrase extraction is ranking terms by their TF.IDF </w:t>
      </w:r>
      <w:r>
        <w:t>score</w:t>
      </w:r>
      <w:r w:rsidRPr="00E420D9">
        <w:t xml:space="preserve"> and selecting top ranked terms as keyphrases. </w:t>
      </w:r>
      <w:r>
        <w:t xml:space="preserve">In General </w:t>
      </w:r>
      <w:r w:rsidRPr="00E420D9">
        <w:t xml:space="preserve">TF.IDF is one of the most widely used term weighting schemes [18]. In keyphrase extraction it remains a competitive and robust baseline [12, 5]. In the 2010 Semeval keyphrase extraction </w:t>
      </w:r>
      <w:r>
        <w:t xml:space="preserve">competition </w:t>
      </w:r>
      <w:r w:rsidRPr="00E420D9">
        <w:t>TF.IDF was used as the unsupervised baseline where it outperformed the two other supervised baselines [11].</w:t>
      </w:r>
    </w:p>
    <w:p w14:paraId="5B4116C1" w14:textId="77777777" w:rsidR="0023533C" w:rsidRDefault="0023533C" w:rsidP="0023533C">
      <w:pPr>
        <w:pStyle w:val="ColingTextIndent"/>
      </w:pPr>
      <w:r w:rsidRPr="00E420D9">
        <w:t xml:space="preserve">Not only is TF.IDF widely used on its own it is also a main feature of many more sophisticated algorithms. </w:t>
      </w:r>
      <w:r>
        <w:t xml:space="preserve">Two salient examples of this can again be found in the Semeval 2010 competition. The best performing system named HUMB [25], which utilizes a supervised approach, uses the TF.IDF score of a term to quantify its informativness, which is one of the three “Content features” used and therefore presumably makes a considerable contribution to overall performance. TF.IDF is also central to KP-Miner [1] which was the best performing </w:t>
      </w:r>
      <w:r w:rsidRPr="00112CD2">
        <w:t>unsupervised</w:t>
      </w:r>
      <w:r>
        <w:t xml:space="preserve"> keyphrase extraction algorithm in the Semeval 2010 competition. The KP-miner algorithm has three stages: (1) Keyphrase candidate </w:t>
      </w:r>
      <w:r>
        <w:lastRenderedPageBreak/>
        <w:t>selection, (2) assigning weights to candidates and (3) refining the weight-based ranking using additional features. The weight assignment function used in step 2 is TF.IDF.B where B is a boosting factor proportional to the number of words in the candidate keyphrase.</w:t>
      </w:r>
    </w:p>
    <w:p w14:paraId="3184EDB0" w14:textId="77777777" w:rsidR="00DA3D08" w:rsidRDefault="0023533C" w:rsidP="0023533C">
      <w:pPr>
        <w:pStyle w:val="ColingTextIndent"/>
      </w:pPr>
      <w:r>
        <w:t>As the above examples show TF.IDF plays a fundamental role in both supervised and unsupervised state-of-the-art algorithms for keyphrase extraction. Therefore an improvement on TF.IDF could potentially improve both supervised and unsupervised state-of-the-art performances.</w:t>
      </w:r>
    </w:p>
    <w:p w14:paraId="21BBD387" w14:textId="0E5CACE5" w:rsidR="00DA3D08" w:rsidRDefault="000E47D9" w:rsidP="00DA3D08">
      <w:pPr>
        <w:pStyle w:val="ColingTextIndent"/>
      </w:pPr>
      <w:r>
        <w:t xml:space="preserve">In </w:t>
      </w:r>
      <w:r w:rsidR="00DA3D08">
        <w:t xml:space="preserve">the current work we propose just such an improvement </w:t>
      </w:r>
      <w:r>
        <w:t>to</w:t>
      </w:r>
      <w:r w:rsidR="00DA3D08">
        <w:t xml:space="preserve"> TF.IDF: Our augmented version of TF.IDF outperforms the original in both precision and recall on four datasets while conserving its computational simplicity. Therefore it is a suitable candidate for replacing TF.IDF in more sophisticated algorithms</w:t>
      </w:r>
    </w:p>
    <w:p w14:paraId="3DAEACD2" w14:textId="77777777" w:rsidR="00DA3D08" w:rsidRPr="00D94DD9" w:rsidRDefault="00DA3D08" w:rsidP="00DA3D08">
      <w:pPr>
        <w:pStyle w:val="ColingTextIndent"/>
      </w:pPr>
      <w:r>
        <w:t>In the following sections we will provide an overview of our approach, discuss similar and related work and finally compare the performance of our proposed weighting measure against TF.IDF on various corpuses.</w:t>
      </w:r>
    </w:p>
    <w:p w14:paraId="2F853EC4" w14:textId="03C43DE6" w:rsidR="0023533C" w:rsidRDefault="00C60E9B" w:rsidP="00C60E9B">
      <w:pPr>
        <w:pStyle w:val="ColingSection"/>
        <w:rPr>
          <w:sz w:val="22"/>
          <w:szCs w:val="22"/>
        </w:rPr>
      </w:pPr>
      <w:r>
        <w:t xml:space="preserve"> Approach</w:t>
      </w:r>
    </w:p>
    <w:p w14:paraId="51E4BC7D" w14:textId="77777777" w:rsidR="00C60E9B" w:rsidRDefault="00C60E9B" w:rsidP="00C60E9B">
      <w:pPr>
        <w:jc w:val="both"/>
        <w:rPr>
          <w:lang w:eastAsia="tr-TR"/>
        </w:rPr>
      </w:pPr>
      <w:r>
        <w:rPr>
          <w:lang w:eastAsia="tr-TR"/>
        </w:rPr>
        <w:t>TF.IDF has many variations but in its simplest form it can be described as:</w:t>
      </w:r>
    </w:p>
    <w:p w14:paraId="4F1FDE1A" w14:textId="77777777" w:rsidR="00C60E9B" w:rsidRPr="00D94DD9" w:rsidRDefault="00C60E9B" w:rsidP="00C60E9B">
      <w:pPr>
        <w:jc w:val="both"/>
        <w:rPr>
          <w:sz w:val="22"/>
          <w:szCs w:val="22"/>
        </w:rPr>
      </w:pPr>
      <m:oMathPara>
        <m:oMath>
          <m:r>
            <w:rPr>
              <w:rFonts w:ascii="Cambria Math" w:hAnsi="Cambria Math"/>
              <w:sz w:val="22"/>
              <w:szCs w:val="22"/>
            </w:rPr>
            <m:t>TF.IDF</m:t>
          </m:r>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=tf.</m:t>
          </m:r>
          <m:r>
            <m:rPr>
              <m:sty m:val="p"/>
            </m:rPr>
            <w:rPr>
              <w:rFonts w:ascii="Cambria Math" w:hAnsi="Cambria Math"/>
              <w:sz w:val="22"/>
              <w:szCs w:val="22"/>
            </w:rPr>
            <m:t>log⁡</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df</m:t>
              </m:r>
            </m:den>
          </m:f>
          <m:r>
            <w:rPr>
              <w:rFonts w:ascii="Cambria Math" w:hAnsi="Cambria Math"/>
              <w:sz w:val="22"/>
              <w:szCs w:val="22"/>
            </w:rPr>
            <m:t>)</m:t>
          </m:r>
        </m:oMath>
      </m:oMathPara>
    </w:p>
    <w:p w14:paraId="14986B5B" w14:textId="6594DF58" w:rsidR="00C60E9B" w:rsidRDefault="00C60E9B" w:rsidP="00C60E9B">
      <w:pPr>
        <w:jc w:val="both"/>
        <w:rPr>
          <w:sz w:val="22"/>
          <w:szCs w:val="22"/>
        </w:rPr>
      </w:pPr>
      <w:r w:rsidRPr="00D94DD9">
        <w:rPr>
          <w:sz w:val="22"/>
          <w:szCs w:val="22"/>
        </w:rPr>
        <w:t xml:space="preserve">Where </w:t>
      </w:r>
      <m:oMath>
        <m:r>
          <w:rPr>
            <w:rFonts w:ascii="Cambria Math" w:hAnsi="Cambria Math"/>
            <w:sz w:val="22"/>
            <w:szCs w:val="22"/>
          </w:rPr>
          <m:t>tf</m:t>
        </m:r>
      </m:oMath>
      <w:r w:rsidRPr="00D94DD9">
        <w:rPr>
          <w:sz w:val="22"/>
          <w:szCs w:val="22"/>
        </w:rPr>
        <w:t xml:space="preserve"> is the number of occurrences of the term </w:t>
      </w:r>
      <m:oMath>
        <m:r>
          <w:rPr>
            <w:rFonts w:ascii="Cambria Math" w:hAnsi="Cambria Math"/>
            <w:sz w:val="22"/>
            <w:szCs w:val="22"/>
          </w:rPr>
          <m:t>t</m:t>
        </m:r>
      </m:oMath>
      <w:r w:rsidRPr="00D94DD9">
        <w:rPr>
          <w:sz w:val="22"/>
          <w:szCs w:val="22"/>
        </w:rPr>
        <w:t xml:space="preserve"> in document</w:t>
      </w:r>
      <w:r>
        <w:rPr>
          <w:sz w:val="22"/>
          <w:szCs w:val="22"/>
        </w:rPr>
        <w:t xml:space="preserve"> </w:t>
      </w:r>
      <m:oMath>
        <m:r>
          <w:rPr>
            <w:rFonts w:ascii="Cambria Math" w:hAnsi="Cambria Math"/>
            <w:sz w:val="22"/>
            <w:szCs w:val="22"/>
          </w:rPr>
          <m:t>d, C</m:t>
        </m:r>
      </m:oMath>
      <w:r w:rsidRPr="00D94DD9">
        <w:rPr>
          <w:sz w:val="22"/>
          <w:szCs w:val="22"/>
        </w:rPr>
        <w:t xml:space="preserve"> is the total number of documents in the corpus and </w:t>
      </w:r>
      <m:oMath>
        <m:r>
          <w:rPr>
            <w:rFonts w:ascii="Cambria Math" w:hAnsi="Cambria Math"/>
            <w:sz w:val="22"/>
            <w:szCs w:val="22"/>
          </w:rPr>
          <m:t>df</m:t>
        </m:r>
      </m:oMath>
      <w:r w:rsidRPr="00D94DD9">
        <w:rPr>
          <w:sz w:val="22"/>
          <w:szCs w:val="22"/>
        </w:rPr>
        <w:t xml:space="preserve"> is the number of documents that contain </w:t>
      </w:r>
      <m:oMath>
        <m:r>
          <w:rPr>
            <w:rFonts w:ascii="Cambria Math" w:hAnsi="Cambria Math"/>
            <w:sz w:val="22"/>
            <w:szCs w:val="22"/>
          </w:rPr>
          <m:t>t</m:t>
        </m:r>
      </m:oMath>
      <w:r w:rsidRPr="00D94DD9">
        <w:rPr>
          <w:sz w:val="22"/>
          <w:szCs w:val="22"/>
        </w:rPr>
        <w:t>.</w:t>
      </w:r>
      <w:r>
        <w:rPr>
          <w:sz w:val="22"/>
          <w:szCs w:val="22"/>
        </w:rPr>
        <w:t xml:space="preserve"> As seen above, TF.IDF only considers the frequency of the term in the document in which it occurs. Our intuition is to extend the term frequency heuristic to documents beyond the one containing the term. The ba</w:t>
      </w:r>
      <w:r w:rsidR="000E47D9">
        <w:rPr>
          <w:sz w:val="22"/>
          <w:szCs w:val="22"/>
        </w:rPr>
        <w:t>sic intuition is that if a term</w:t>
      </w:r>
      <w:r>
        <w:rPr>
          <w:sz w:val="22"/>
          <w:szCs w:val="22"/>
        </w:rPr>
        <w:t xml:space="preserve"> is frequent not only in the document at hand but also in other documents in the corpus then it is even more likely to be a keyphrase. A simple statistic that can be used to represent a term’s frequency in all documents in which it occurs is average term frequency, </w:t>
      </w:r>
      <m:oMath>
        <m:r>
          <w:rPr>
            <w:rFonts w:ascii="Cambria Math" w:hAnsi="Cambria Math"/>
            <w:sz w:val="22"/>
            <w:szCs w:val="22"/>
          </w:rPr>
          <m:t>μ</m:t>
        </m:r>
      </m:oMath>
      <w:r w:rsidR="004A781C">
        <w:rPr>
          <w:sz w:val="22"/>
          <w:szCs w:val="22"/>
        </w:rPr>
        <w:t>, as defined in equation 1</w:t>
      </w:r>
      <w:r>
        <w:rPr>
          <w:sz w:val="22"/>
          <w:szCs w:val="22"/>
        </w:rPr>
        <w:t xml:space="preserve"> below. To incorporate this measure into TF.IDF we simply add it as a third term to the TF.IDF product producing the function which we name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Pr>
          <w:sz w:val="22"/>
          <w:szCs w:val="22"/>
        </w:rPr>
        <w:t>:</w:t>
      </w:r>
    </w:p>
    <w:p w14:paraId="69B135A6" w14:textId="77777777" w:rsidR="00914134" w:rsidRPr="00ED08AA" w:rsidRDefault="00914134" w:rsidP="00914134">
      <w:pPr>
        <w:ind w:firstLine="720"/>
        <w:rPr>
          <w:sz w:val="22"/>
          <w:szCs w:val="22"/>
        </w:rPr>
      </w:pPr>
      <m:oMathPara>
        <m:oMath>
          <m:r>
            <w:rPr>
              <w:rFonts w:ascii="Cambria Math" w:hAnsi="Cambria Math"/>
              <w:sz w:val="22"/>
              <w:szCs w:val="22"/>
            </w:rPr>
            <m:t>μ=</m:t>
          </m:r>
          <m:f>
            <m:fPr>
              <m:ctrlPr>
                <w:rPr>
                  <w:rFonts w:ascii="Cambria Math" w:hAnsi="Cambria Math"/>
                  <w:i/>
                  <w:sz w:val="22"/>
                  <w:szCs w:val="22"/>
                </w:rPr>
              </m:ctrlPr>
            </m:fPr>
            <m:num>
              <m:r>
                <w:rPr>
                  <w:rFonts w:ascii="Cambria Math" w:hAnsi="Cambria Math"/>
                  <w:sz w:val="22"/>
                  <w:szCs w:val="22"/>
                </w:rPr>
                <m:t>ctf</m:t>
              </m:r>
            </m:num>
            <m:den>
              <m:r>
                <w:rPr>
                  <w:rFonts w:ascii="Cambria Math" w:hAnsi="Cambria Math"/>
                  <w:sz w:val="22"/>
                  <w:szCs w:val="22"/>
                </w:rPr>
                <m:t>df</m:t>
              </m:r>
            </m:den>
          </m:f>
          <m:r>
            <w:rPr>
              <w:rFonts w:ascii="Cambria Math" w:hAnsi="Cambria Math"/>
              <w:sz w:val="22"/>
              <w:szCs w:val="22"/>
            </w:rPr>
            <m:t xml:space="preserve">     (1)</m:t>
          </m:r>
        </m:oMath>
      </m:oMathPara>
    </w:p>
    <w:p w14:paraId="75C034A9" w14:textId="77777777" w:rsidR="00914134" w:rsidRDefault="00914134" w:rsidP="00C60E9B">
      <w:pPr>
        <w:jc w:val="both"/>
        <w:rPr>
          <w:sz w:val="22"/>
          <w:szCs w:val="22"/>
        </w:rPr>
      </w:pPr>
    </w:p>
    <w:p w14:paraId="365B48B8" w14:textId="6D0847B7" w:rsidR="00C60E9B" w:rsidRPr="00120E5B" w:rsidRDefault="00035357" w:rsidP="00C60E9B">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=TF.IDF</m:t>
          </m:r>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 xml:space="preserve"> × μ</m:t>
          </m:r>
          <m:r>
            <w:rPr>
              <w:rFonts w:ascii="Cambria Math" w:hAnsi="Cambria Math"/>
              <w:sz w:val="22"/>
              <w:szCs w:val="22"/>
            </w:rPr>
            <m:t xml:space="preserve">     (2</m:t>
          </m:r>
          <m:r>
            <w:rPr>
              <w:rFonts w:ascii="Cambria Math" w:hAnsi="Cambria Math"/>
              <w:sz w:val="22"/>
              <w:szCs w:val="22"/>
            </w:rPr>
            <m:t>)</m:t>
          </m:r>
        </m:oMath>
      </m:oMathPara>
    </w:p>
    <w:p w14:paraId="67017955" w14:textId="77777777" w:rsidR="00C60E9B" w:rsidRDefault="00C60E9B" w:rsidP="00C60E9B">
      <w:pPr>
        <w:jc w:val="both"/>
        <w:rPr>
          <w:sz w:val="22"/>
          <w:szCs w:val="22"/>
        </w:rPr>
      </w:pPr>
    </w:p>
    <w:p w14:paraId="07011263" w14:textId="11B98E3E" w:rsidR="00682362" w:rsidRDefault="00C60E9B" w:rsidP="00AC449B">
      <w:pPr>
        <w:jc w:val="both"/>
        <w:rPr>
          <w:sz w:val="22"/>
          <w:szCs w:val="22"/>
        </w:rPr>
      </w:pPr>
      <w:r>
        <w:rPr>
          <w:sz w:val="22"/>
          <w:szCs w:val="22"/>
        </w:rPr>
        <w:t xml:space="preserve">Our initial experiments showed that while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Pr>
          <w:sz w:val="22"/>
          <w:szCs w:val="22"/>
        </w:rPr>
        <w:t xml:space="preserve"> indeed outperforms TF.IDF on some datasets, on other d</w:t>
      </w:r>
      <w:r w:rsidR="00B525E6">
        <w:rPr>
          <w:sz w:val="22"/>
          <w:szCs w:val="22"/>
        </w:rPr>
        <w:t>atasets it is outperformed by TF.IDF</w:t>
      </w:r>
      <w:r>
        <w:rPr>
          <w:sz w:val="22"/>
          <w:szCs w:val="22"/>
        </w:rPr>
        <w:t xml:space="preserve">. </w:t>
      </w:r>
      <w:r w:rsidR="00682362">
        <w:rPr>
          <w:sz w:val="22"/>
          <w:szCs w:val="22"/>
        </w:rPr>
        <w:t>We hypothesize that this is due to the existence of terms</w:t>
      </w:r>
      <w:r w:rsidR="00E66548">
        <w:rPr>
          <w:sz w:val="22"/>
          <w:szCs w:val="22"/>
        </w:rPr>
        <w:t xml:space="preserve"> in these datasets</w:t>
      </w:r>
      <w:r w:rsidR="00682362">
        <w:rPr>
          <w:sz w:val="22"/>
          <w:szCs w:val="22"/>
        </w:rPr>
        <w:t xml:space="preserve"> that are not keyphrases but have a large </w:t>
      </w:r>
      <m:oMath>
        <m:r>
          <w:rPr>
            <w:rFonts w:ascii="Cambria Math" w:hAnsi="Cambria Math"/>
            <w:sz w:val="22"/>
            <w:szCs w:val="22"/>
          </w:rPr>
          <m:t>μ</m:t>
        </m:r>
      </m:oMath>
      <w:r w:rsidR="00E66548">
        <w:rPr>
          <w:sz w:val="22"/>
          <w:szCs w:val="22"/>
        </w:rPr>
        <w:t xml:space="preserve"> and are therefore ranked highly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E66548">
        <w:rPr>
          <w:sz w:val="22"/>
          <w:szCs w:val="22"/>
        </w:rPr>
        <w:t xml:space="preserve"> causing it to have a lower accuracy</w:t>
      </w:r>
      <w:r w:rsidR="00682362">
        <w:rPr>
          <w:sz w:val="22"/>
          <w:szCs w:val="22"/>
        </w:rPr>
        <w:t xml:space="preserve">. </w:t>
      </w:r>
      <w:r w:rsidR="002807D6">
        <w:rPr>
          <w:sz w:val="22"/>
          <w:szCs w:val="22"/>
        </w:rPr>
        <w:t xml:space="preserve">To better explain this intuition we use the following hypothetical example: Imagine in a large corpus of computer science abstracts the </w:t>
      </w:r>
      <w:r w:rsidR="0068039A">
        <w:rPr>
          <w:sz w:val="22"/>
          <w:szCs w:val="22"/>
        </w:rPr>
        <w:t>term</w:t>
      </w:r>
      <w:r w:rsidR="002807D6">
        <w:rPr>
          <w:sz w:val="22"/>
          <w:szCs w:val="22"/>
        </w:rPr>
        <w:t xml:space="preserve"> </w:t>
      </w:r>
      <w:r w:rsidR="008B4F9B">
        <w:rPr>
          <w:sz w:val="22"/>
          <w:szCs w:val="22"/>
        </w:rPr>
        <w:t>‘Graph’</w:t>
      </w:r>
      <w:r w:rsidR="0068039A">
        <w:rPr>
          <w:sz w:val="22"/>
          <w:szCs w:val="22"/>
        </w:rPr>
        <w:t xml:space="preserve"> </w:t>
      </w:r>
      <w:r w:rsidR="008E730E">
        <w:rPr>
          <w:sz w:val="22"/>
          <w:szCs w:val="22"/>
        </w:rPr>
        <w:t>has a corpus term frequency of 1000 and a docum</w:t>
      </w:r>
      <w:r w:rsidR="00E42991">
        <w:rPr>
          <w:sz w:val="22"/>
          <w:szCs w:val="22"/>
        </w:rPr>
        <w:t>ent frequency of 100. Therefore</w:t>
      </w:r>
      <w:r w:rsidR="008E730E" w:rsidRPr="008E730E">
        <w:rPr>
          <w:rFonts w:hint="eastAsia"/>
          <w:sz w:val="22"/>
          <w:szCs w:val="22"/>
        </w:rPr>
        <w:t>μ</w:t>
      </w:r>
      <w:r w:rsidR="008E730E">
        <w:rPr>
          <w:rFonts w:hint="eastAsia"/>
          <w:sz w:val="22"/>
          <w:szCs w:val="22"/>
        </w:rPr>
        <w:t xml:space="preserve">for graph is </w:t>
      </w:r>
      <w:r w:rsidR="008E730E">
        <w:rPr>
          <w:sz w:val="22"/>
          <w:szCs w:val="22"/>
        </w:rPr>
        <w:t xml:space="preserve">10. However graph itself </w:t>
      </w:r>
      <w:r w:rsidR="0018281A">
        <w:rPr>
          <w:sz w:val="22"/>
          <w:szCs w:val="22"/>
        </w:rPr>
        <w:t>is not a keyphrase</w:t>
      </w:r>
      <w:r w:rsidR="00E42991">
        <w:rPr>
          <w:sz w:val="22"/>
          <w:szCs w:val="22"/>
        </w:rPr>
        <w:t xml:space="preserve"> in any of the documents it occurs in</w:t>
      </w:r>
      <w:r w:rsidR="004A781C">
        <w:rPr>
          <w:sz w:val="22"/>
          <w:szCs w:val="22"/>
        </w:rPr>
        <w:t xml:space="preserve"> but in many cases it is</w:t>
      </w:r>
      <w:r w:rsidR="00E42991">
        <w:rPr>
          <w:sz w:val="22"/>
          <w:szCs w:val="22"/>
        </w:rPr>
        <w:t xml:space="preserve"> a</w:t>
      </w:r>
      <w:r w:rsidR="0018281A">
        <w:rPr>
          <w:sz w:val="22"/>
          <w:szCs w:val="22"/>
        </w:rPr>
        <w:t xml:space="preserve"> part of multiword keyphrases such as </w:t>
      </w:r>
      <w:r w:rsidR="00AB57B9">
        <w:rPr>
          <w:sz w:val="22"/>
          <w:szCs w:val="22"/>
        </w:rPr>
        <w:t>‘G</w:t>
      </w:r>
      <w:r w:rsidR="0018281A">
        <w:rPr>
          <w:sz w:val="22"/>
          <w:szCs w:val="22"/>
        </w:rPr>
        <w:t>raph traversal</w:t>
      </w:r>
      <w:r w:rsidR="00AB57B9">
        <w:rPr>
          <w:sz w:val="22"/>
          <w:szCs w:val="22"/>
        </w:rPr>
        <w:t>’ and ‘G</w:t>
      </w:r>
      <w:r w:rsidR="0018281A">
        <w:rPr>
          <w:sz w:val="22"/>
          <w:szCs w:val="22"/>
        </w:rPr>
        <w:t>raph theory</w:t>
      </w:r>
      <w:r w:rsidR="00AB57B9">
        <w:rPr>
          <w:sz w:val="22"/>
          <w:szCs w:val="22"/>
        </w:rPr>
        <w:t>’</w:t>
      </w:r>
      <w:r w:rsidR="0018281A">
        <w:rPr>
          <w:sz w:val="22"/>
          <w:szCs w:val="22"/>
        </w:rPr>
        <w:t>. Let us further assume, in t</w:t>
      </w:r>
      <w:r w:rsidR="004A781C">
        <w:rPr>
          <w:sz w:val="22"/>
          <w:szCs w:val="22"/>
        </w:rPr>
        <w:t>his hypothetical example, that ‘G</w:t>
      </w:r>
      <w:r w:rsidR="0018281A">
        <w:rPr>
          <w:sz w:val="22"/>
          <w:szCs w:val="22"/>
        </w:rPr>
        <w:t>raph theory</w:t>
      </w:r>
      <w:r w:rsidR="004A781C">
        <w:rPr>
          <w:sz w:val="22"/>
          <w:szCs w:val="22"/>
        </w:rPr>
        <w:t>’</w:t>
      </w:r>
      <w:r w:rsidR="0018281A">
        <w:rPr>
          <w:sz w:val="22"/>
          <w:szCs w:val="22"/>
        </w:rPr>
        <w:t xml:space="preserve"> has a corpus term frequency of 200 and </w:t>
      </w:r>
      <w:r w:rsidR="004A781C">
        <w:rPr>
          <w:sz w:val="22"/>
          <w:szCs w:val="22"/>
        </w:rPr>
        <w:t>a document frequency of 20 and ‘G</w:t>
      </w:r>
      <w:r w:rsidR="0018281A">
        <w:rPr>
          <w:sz w:val="22"/>
          <w:szCs w:val="22"/>
        </w:rPr>
        <w:t>raph traversal</w:t>
      </w:r>
      <w:r w:rsidR="004A781C">
        <w:rPr>
          <w:sz w:val="22"/>
          <w:szCs w:val="22"/>
        </w:rPr>
        <w:t>’</w:t>
      </w:r>
      <w:r w:rsidR="0018281A">
        <w:rPr>
          <w:sz w:val="22"/>
          <w:szCs w:val="22"/>
        </w:rPr>
        <w:t xml:space="preserve"> has a corpus term frequency of 100 and a document frequency of 10. </w:t>
      </w:r>
      <w:r w:rsidR="00BD6649">
        <w:rPr>
          <w:sz w:val="22"/>
          <w:szCs w:val="22"/>
        </w:rPr>
        <w:t>Notice that all three terms, graph, graph theory and graph traversal have the same</w:t>
      </w:r>
      <w:r w:rsidR="005B5472">
        <w:rPr>
          <w:sz w:val="22"/>
          <w:szCs w:val="22"/>
        </w:rPr>
        <w:t xml:space="preserve"> </w:t>
      </w:r>
      <m:oMath>
        <m:r>
          <w:rPr>
            <w:rFonts w:ascii="Cambria Math" w:hAnsi="Cambria Math"/>
            <w:sz w:val="22"/>
            <w:szCs w:val="22"/>
          </w:rPr>
          <m:t>μ</m:t>
        </m:r>
      </m:oMath>
      <w:r w:rsidR="00B52350">
        <w:rPr>
          <w:sz w:val="22"/>
          <w:szCs w:val="22"/>
        </w:rPr>
        <w:t xml:space="preserve"> whereas our aim is to assign higher scores to </w:t>
      </w:r>
      <w:r w:rsidR="00CC4F38">
        <w:rPr>
          <w:sz w:val="22"/>
          <w:szCs w:val="22"/>
        </w:rPr>
        <w:t xml:space="preserve">keyphrases, graph theory and graph traversal, and a lower weight to non-keyphrases such as graph. However in this example </w:t>
      </w:r>
      <m:oMath>
        <m:r>
          <w:rPr>
            <w:rFonts w:ascii="Cambria Math" w:hAnsi="Cambria Math"/>
            <w:sz w:val="22"/>
            <w:szCs w:val="22"/>
          </w:rPr>
          <m:t>μ</m:t>
        </m:r>
      </m:oMath>
      <w:r w:rsidR="00CC4F38">
        <w:rPr>
          <w:sz w:val="22"/>
          <w:szCs w:val="22"/>
        </w:rPr>
        <w:t xml:space="preserve"> does not distinuigsh much rarer keyphrases from </w:t>
      </w:r>
      <w:r w:rsidR="004A781C">
        <w:rPr>
          <w:sz w:val="22"/>
          <w:szCs w:val="22"/>
        </w:rPr>
        <w:t xml:space="preserve">a </w:t>
      </w:r>
      <w:r w:rsidR="00CC4F38">
        <w:rPr>
          <w:sz w:val="22"/>
          <w:szCs w:val="22"/>
        </w:rPr>
        <w:t>non-keyphrase</w:t>
      </w:r>
      <w:r w:rsidR="00B52350">
        <w:rPr>
          <w:sz w:val="22"/>
          <w:szCs w:val="22"/>
        </w:rPr>
        <w:t xml:space="preserve">. </w:t>
      </w:r>
      <w:r w:rsidR="00544FE6">
        <w:rPr>
          <w:sz w:val="22"/>
          <w:szCs w:val="22"/>
        </w:rPr>
        <w:t xml:space="preserve">To </w:t>
      </w:r>
      <w:r w:rsidR="00FE79E7">
        <w:rPr>
          <w:sz w:val="22"/>
          <w:szCs w:val="22"/>
        </w:rPr>
        <w:t xml:space="preserve">mitigate the effect of </w:t>
      </w:r>
      <w:r w:rsidR="004A781C">
        <w:rPr>
          <w:sz w:val="22"/>
          <w:szCs w:val="22"/>
        </w:rPr>
        <w:t>non-keyphrases</w:t>
      </w:r>
      <w:r w:rsidR="00FE79E7">
        <w:rPr>
          <w:sz w:val="22"/>
          <w:szCs w:val="22"/>
        </w:rPr>
        <w:t xml:space="preserve"> with high </w:t>
      </w:r>
      <m:oMath>
        <m:r>
          <w:rPr>
            <w:rFonts w:ascii="Cambria Math" w:hAnsi="Cambria Math"/>
            <w:sz w:val="22"/>
            <w:szCs w:val="22"/>
          </w:rPr>
          <m:t>μ</m:t>
        </m:r>
      </m:oMath>
      <w:r w:rsidR="004A781C">
        <w:rPr>
          <w:sz w:val="22"/>
          <w:szCs w:val="22"/>
        </w:rPr>
        <w:t>s</w:t>
      </w:r>
      <w:r w:rsidR="00FE79E7">
        <w:rPr>
          <w:sz w:val="22"/>
          <w:szCs w:val="22"/>
        </w:rPr>
        <w:t xml:space="preserve"> </w:t>
      </w:r>
      <w:r w:rsidR="006C3850">
        <w:rPr>
          <w:sz w:val="22"/>
          <w:szCs w:val="22"/>
        </w:rPr>
        <w:t xml:space="preserve">in the term weighting </w:t>
      </w:r>
      <w:r w:rsidR="00AD2D6B">
        <w:rPr>
          <w:sz w:val="22"/>
          <w:szCs w:val="22"/>
        </w:rPr>
        <w:t>scheme</w:t>
      </w:r>
      <w:r w:rsidR="006C3850">
        <w:rPr>
          <w:sz w:val="22"/>
          <w:szCs w:val="22"/>
        </w:rPr>
        <w:t xml:space="preserve"> </w:t>
      </w:r>
      <w:r w:rsidR="00544FE6">
        <w:rPr>
          <w:sz w:val="22"/>
          <w:szCs w:val="22"/>
        </w:rPr>
        <w:t xml:space="preserve">we use the log function to transform </w:t>
      </w:r>
      <m:oMath>
        <m:r>
          <w:rPr>
            <w:rFonts w:ascii="Cambria Math" w:hAnsi="Cambria Math"/>
            <w:sz w:val="22"/>
            <w:szCs w:val="22"/>
          </w:rPr>
          <m:t>μ</m:t>
        </m:r>
      </m:oMath>
      <w:r w:rsidR="00544FE6">
        <w:rPr>
          <w:sz w:val="22"/>
          <w:szCs w:val="22"/>
        </w:rPr>
        <w:t xml:space="preserve"> </w:t>
      </w:r>
      <w:r w:rsidR="00A30075">
        <w:rPr>
          <w:sz w:val="22"/>
          <w:szCs w:val="22"/>
        </w:rPr>
        <w:t>making it more</w:t>
      </w:r>
      <w:r w:rsidR="00FE79E7">
        <w:rPr>
          <w:sz w:val="22"/>
          <w:szCs w:val="22"/>
        </w:rPr>
        <w:t xml:space="preserve"> sensitive to the rareness of a term. </w:t>
      </w:r>
      <w:r w:rsidR="00914134">
        <w:rPr>
          <w:sz w:val="22"/>
          <w:szCs w:val="22"/>
        </w:rPr>
        <w:t xml:space="preserve">Through experimentation we came up with two </w:t>
      </w:r>
      <w:r w:rsidR="001A1A91">
        <w:rPr>
          <w:sz w:val="22"/>
          <w:szCs w:val="22"/>
        </w:rPr>
        <w:t xml:space="preserve">modifications of </w:t>
      </w:r>
      <m:oMath>
        <m:r>
          <w:rPr>
            <w:rFonts w:ascii="Cambria Math" w:hAnsi="Cambria Math"/>
            <w:sz w:val="22"/>
            <w:szCs w:val="22"/>
          </w:rPr>
          <m:t>μ</m:t>
        </m:r>
      </m:oMath>
      <w:r w:rsidR="001A1A91">
        <w:rPr>
          <w:sz w:val="22"/>
          <w:szCs w:val="22"/>
        </w:rPr>
        <w:t xml:space="preserve"> as described in equations (3) and (4)</w:t>
      </w:r>
    </w:p>
    <w:p w14:paraId="00038330" w14:textId="77777777" w:rsidR="00C60E9B" w:rsidRDefault="00C60E9B" w:rsidP="00C60E9B">
      <w:pPr>
        <w:jc w:val="both"/>
        <w:rPr>
          <w:sz w:val="22"/>
          <w:szCs w:val="22"/>
        </w:rPr>
      </w:pPr>
    </w:p>
    <w:p w14:paraId="38B8A6B9" w14:textId="7561A86C" w:rsidR="0048643E" w:rsidRPr="001A1A91" w:rsidRDefault="00C60E9B" w:rsidP="0048643E">
      <w:pPr>
        <w:ind w:firstLine="720"/>
        <w:jc w:val="both"/>
        <w:rPr>
          <w:sz w:val="22"/>
          <w:szCs w:val="22"/>
        </w:rPr>
      </w:pPr>
      <m:oMathPara>
        <m:oMath>
          <m:r>
            <w:rPr>
              <w:rFonts w:ascii="Cambria Math" w:hAnsi="Cambria Math"/>
              <w:sz w:val="22"/>
              <w:szCs w:val="22"/>
            </w:rPr>
            <m:t>ν=</m:t>
          </m:r>
          <m:f>
            <m:fPr>
              <m:ctrlPr>
                <w:rPr>
                  <w:rFonts w:ascii="Cambria Math" w:hAnsi="Cambria Math"/>
                  <w:i/>
                  <w:sz w:val="22"/>
                  <w:szCs w:val="22"/>
                </w:rPr>
              </m:ctrlPr>
            </m:fPr>
            <m:num>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ctf</m:t>
                      </m:r>
                    </m:e>
                  </m:d>
                </m:e>
              </m:func>
            </m:num>
            <m:den>
              <m:r>
                <w:rPr>
                  <w:rFonts w:ascii="Cambria Math" w:hAnsi="Cambria Math"/>
                  <w:sz w:val="22"/>
                  <w:szCs w:val="22"/>
                </w:rPr>
                <m:t>df</m:t>
              </m:r>
            </m:den>
          </m:f>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3</m:t>
              </m:r>
            </m:e>
          </m:d>
          <m:r>
            <w:rPr>
              <w:rFonts w:ascii="Cambria Math" w:hAnsi="Cambria Math"/>
              <w:sz w:val="22"/>
              <w:szCs w:val="22"/>
            </w:rPr>
            <m:t xml:space="preserve">,       ξ= </m:t>
          </m:r>
          <m:f>
            <m:fPr>
              <m:ctrlPr>
                <w:rPr>
                  <w:rFonts w:ascii="Cambria Math" w:hAnsi="Cambria Math"/>
                  <w:i/>
                  <w:sz w:val="22"/>
                  <w:szCs w:val="22"/>
                </w:rPr>
              </m:ctrlPr>
            </m:fPr>
            <m:num>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ctf</m:t>
                      </m:r>
                    </m:e>
                  </m:d>
                </m:e>
              </m:func>
            </m:num>
            <m:den>
              <m:func>
                <m:funcPr>
                  <m:ctrlPr>
                    <w:rPr>
                      <w:rFonts w:ascii="Cambria Math" w:hAnsi="Cambria Math"/>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df</m:t>
                      </m:r>
                    </m:e>
                  </m:d>
                </m:e>
              </m:func>
            </m:den>
          </m:f>
          <m:r>
            <w:rPr>
              <w:rFonts w:ascii="Cambria Math" w:hAnsi="Cambria Math"/>
              <w:sz w:val="22"/>
              <w:szCs w:val="22"/>
            </w:rPr>
            <m:t xml:space="preserve">    (4)</m:t>
          </m:r>
        </m:oMath>
      </m:oMathPara>
    </w:p>
    <w:p w14:paraId="29242990" w14:textId="359A9B01" w:rsidR="001A1A91" w:rsidRDefault="00035357" w:rsidP="00676D47">
      <w:pPr>
        <w:jc w:val="both"/>
        <w:rPr>
          <w:sz w:val="22"/>
          <w:szCs w:val="22"/>
        </w:rPr>
      </w:pPr>
      <w:r>
        <w:rPr>
          <w:sz w:val="22"/>
          <w:szCs w:val="22"/>
        </w:rPr>
        <w:t xml:space="preserve">In the previous example graph, graph theory and graph traversal all have the same </w:t>
      </w:r>
      <m:oMath>
        <m:r>
          <w:rPr>
            <w:rFonts w:ascii="Cambria Math" w:hAnsi="Cambria Math"/>
            <w:sz w:val="22"/>
            <w:szCs w:val="22"/>
          </w:rPr>
          <m:t>μ</m:t>
        </m:r>
      </m:oMath>
      <w:r>
        <w:rPr>
          <w:sz w:val="22"/>
          <w:szCs w:val="22"/>
        </w:rPr>
        <w:t xml:space="preserve">. However both </w:t>
      </w:r>
      <m:oMath>
        <m:r>
          <w:rPr>
            <w:rFonts w:ascii="Cambria Math" w:hAnsi="Cambria Math"/>
            <w:sz w:val="22"/>
            <w:szCs w:val="22"/>
          </w:rPr>
          <m:t>ν</m:t>
        </m:r>
      </m:oMath>
      <w:r>
        <w:rPr>
          <w:sz w:val="22"/>
          <w:szCs w:val="22"/>
        </w:rPr>
        <w:t xml:space="preserve"> and </w:t>
      </w:r>
      <m:oMath>
        <m:r>
          <w:rPr>
            <w:rFonts w:ascii="Cambria Math" w:hAnsi="Cambria Math"/>
            <w:sz w:val="22"/>
            <w:szCs w:val="22"/>
          </w:rPr>
          <m:t>ξ</m:t>
        </m:r>
      </m:oMath>
      <w:r>
        <w:rPr>
          <w:sz w:val="22"/>
          <w:szCs w:val="22"/>
        </w:rPr>
        <w:t xml:space="preserve"> </w:t>
      </w:r>
      <w:r w:rsidR="00986B83">
        <w:rPr>
          <w:sz w:val="22"/>
          <w:szCs w:val="22"/>
        </w:rPr>
        <w:t xml:space="preserve">assign higher weights to less frequent terms. Therefore </w:t>
      </w:r>
      <w:r w:rsidR="00A25921">
        <w:rPr>
          <w:sz w:val="22"/>
          <w:szCs w:val="22"/>
        </w:rPr>
        <w:t>,</w:t>
      </w:r>
      <w:r w:rsidR="00986B83">
        <w:rPr>
          <w:sz w:val="22"/>
          <w:szCs w:val="22"/>
        </w:rPr>
        <w:t>in this case</w:t>
      </w:r>
      <w:r w:rsidR="00A25921">
        <w:rPr>
          <w:sz w:val="22"/>
          <w:szCs w:val="22"/>
        </w:rPr>
        <w:t>,</w:t>
      </w:r>
      <w:r w:rsidR="00676D47">
        <w:rPr>
          <w:sz w:val="22"/>
          <w:szCs w:val="22"/>
        </w:rPr>
        <w:t xml:space="preserve"> the largest values for both </w:t>
      </w:r>
      <m:oMath>
        <m:r>
          <w:rPr>
            <w:rFonts w:ascii="Cambria Math" w:hAnsi="Cambria Math"/>
            <w:sz w:val="22"/>
            <w:szCs w:val="22"/>
          </w:rPr>
          <m:t>ν</m:t>
        </m:r>
      </m:oMath>
      <w:r w:rsidR="00676D47">
        <w:rPr>
          <w:sz w:val="22"/>
          <w:szCs w:val="22"/>
        </w:rPr>
        <w:t xml:space="preserve"> </w:t>
      </w:r>
      <w:r w:rsidR="00676D47">
        <w:rPr>
          <w:sz w:val="22"/>
          <w:szCs w:val="22"/>
        </w:rPr>
        <w:lastRenderedPageBreak/>
        <w:t xml:space="preserve">and </w:t>
      </w:r>
      <m:oMath>
        <m:r>
          <w:rPr>
            <w:rFonts w:ascii="Cambria Math" w:hAnsi="Cambria Math"/>
            <w:sz w:val="22"/>
            <w:szCs w:val="22"/>
          </w:rPr>
          <m:t>ξ</m:t>
        </m:r>
      </m:oMath>
      <w:r w:rsidR="00676D47">
        <w:rPr>
          <w:sz w:val="22"/>
          <w:szCs w:val="22"/>
        </w:rPr>
        <w:t xml:space="preserve"> </w:t>
      </w:r>
      <w:r w:rsidR="00986B83">
        <w:rPr>
          <w:sz w:val="22"/>
          <w:szCs w:val="22"/>
        </w:rPr>
        <w:t>belong</w:t>
      </w:r>
      <w:r w:rsidR="00676D47">
        <w:rPr>
          <w:sz w:val="22"/>
          <w:szCs w:val="22"/>
        </w:rPr>
        <w:t xml:space="preserve"> to graph traversal followed by graph theory</w:t>
      </w:r>
      <w:r w:rsidR="00986B83">
        <w:rPr>
          <w:sz w:val="22"/>
          <w:szCs w:val="22"/>
        </w:rPr>
        <w:t xml:space="preserve">. The non-keyphrase, graph, is ranked lowest by both </w:t>
      </w:r>
      <w:r w:rsidR="00212A30">
        <w:rPr>
          <w:sz w:val="22"/>
          <w:szCs w:val="22"/>
        </w:rPr>
        <w:t>which is more inline with our overall purpose of</w:t>
      </w:r>
      <w:r w:rsidR="00986B83">
        <w:rPr>
          <w:sz w:val="22"/>
          <w:szCs w:val="22"/>
        </w:rPr>
        <w:t xml:space="preserve"> assigning higher weights to keyphrases</w:t>
      </w:r>
      <w:r w:rsidR="00212A30">
        <w:rPr>
          <w:sz w:val="22"/>
          <w:szCs w:val="22"/>
        </w:rPr>
        <w:t>.</w:t>
      </w:r>
    </w:p>
    <w:p w14:paraId="368CA684" w14:textId="19B0AB40" w:rsidR="00A578E5" w:rsidRDefault="000E7CE2" w:rsidP="00E6603C">
      <w:pPr>
        <w:pStyle w:val="ColingTextIndent"/>
      </w:pPr>
      <w:r>
        <w:t>Table [</w:t>
      </w:r>
      <w:r w:rsidR="00A25921">
        <w:t>1</w:t>
      </w:r>
      <w:r>
        <w:t xml:space="preserve">] summarizes the above example and shows the values assigned to the different terms by </w:t>
      </w:r>
      <m:oMath>
        <m:r>
          <w:rPr>
            <w:rFonts w:ascii="Cambria Math" w:hAnsi="Cambria Math"/>
            <w:szCs w:val="22"/>
          </w:rPr>
          <m:t>μ</m:t>
        </m:r>
      </m:oMath>
      <w:r>
        <w:rPr>
          <w:szCs w:val="22"/>
        </w:rPr>
        <w:t xml:space="preserve">, </w:t>
      </w:r>
      <m:oMath>
        <m:r>
          <w:rPr>
            <w:rFonts w:ascii="Cambria Math" w:hAnsi="Cambria Math"/>
            <w:szCs w:val="22"/>
          </w:rPr>
          <m:t>ν</m:t>
        </m:r>
      </m:oMath>
      <w:r w:rsidR="00E6603C">
        <w:t xml:space="preserve"> </w:t>
      </w:r>
      <w:r>
        <w:t xml:space="preserve">and </w:t>
      </w:r>
      <m:oMath>
        <m:r>
          <w:rPr>
            <w:rFonts w:ascii="Cambria Math" w:hAnsi="Cambria Math"/>
            <w:szCs w:val="22"/>
          </w:rPr>
          <m:t>ξ</m:t>
        </m:r>
      </m:oMath>
      <w:r>
        <w:t>.</w:t>
      </w:r>
      <w:r w:rsidR="00A578E5">
        <w:t xml:space="preserve"> </w:t>
      </w:r>
      <w:r w:rsidR="00AE063D">
        <w:rPr>
          <w:szCs w:val="22"/>
        </w:rPr>
        <w:t>As can be seen from this table</w:t>
      </w:r>
      <w:r w:rsidR="00A578E5">
        <w:rPr>
          <w:szCs w:val="22"/>
        </w:rPr>
        <w:t xml:space="preserve"> </w:t>
      </w:r>
      <m:oMath>
        <m:r>
          <w:rPr>
            <w:rFonts w:ascii="Cambria Math" w:hAnsi="Cambria Math"/>
            <w:szCs w:val="22"/>
          </w:rPr>
          <m:t>ν</m:t>
        </m:r>
      </m:oMath>
      <w:r w:rsidR="00A578E5">
        <w:rPr>
          <w:szCs w:val="22"/>
        </w:rPr>
        <w:t xml:space="preserve"> and </w:t>
      </w:r>
      <m:oMath>
        <m:r>
          <w:rPr>
            <w:rFonts w:ascii="Cambria Math" w:hAnsi="Cambria Math"/>
            <w:szCs w:val="22"/>
          </w:rPr>
          <m:t>ξ</m:t>
        </m:r>
      </m:oMath>
      <w:r w:rsidR="00A578E5">
        <w:rPr>
          <w:szCs w:val="22"/>
        </w:rPr>
        <w:t xml:space="preserve"> values are larger for </w:t>
      </w:r>
      <w:r w:rsidR="00606EAB">
        <w:rPr>
          <w:szCs w:val="22"/>
        </w:rPr>
        <w:t xml:space="preserve">rarer terms where as </w:t>
      </w:r>
      <m:oMath>
        <m:r>
          <w:rPr>
            <w:rFonts w:ascii="Cambria Math" w:hAnsi="Cambria Math"/>
            <w:szCs w:val="22"/>
          </w:rPr>
          <m:t>μ</m:t>
        </m:r>
        <m:r>
          <w:rPr>
            <w:rFonts w:ascii="Cambria Math" w:hAnsi="Cambria Math"/>
            <w:szCs w:val="22"/>
          </w:rPr>
          <m:t xml:space="preserve"> </m:t>
        </m:r>
      </m:oMath>
      <w:r w:rsidR="00606EAB">
        <w:rPr>
          <w:szCs w:val="22"/>
        </w:rPr>
        <w:t>assigns the same weight to all three terms.</w:t>
      </w:r>
    </w:p>
    <w:p w14:paraId="48E1D3E1" w14:textId="4917F130" w:rsidR="000E7CE2" w:rsidRDefault="000E7CE2" w:rsidP="000E7CE2">
      <w:pPr>
        <w:pStyle w:val="ColingTextIndent"/>
        <w:ind w:firstLine="0"/>
      </w:pPr>
    </w:p>
    <w:tbl>
      <w:tblPr>
        <w:tblStyle w:val="TableGrid"/>
        <w:tblW w:w="0" w:type="auto"/>
        <w:tblLook w:val="04A0" w:firstRow="1" w:lastRow="0" w:firstColumn="1" w:lastColumn="0" w:noHBand="0" w:noVBand="1"/>
      </w:tblPr>
      <w:tblGrid>
        <w:gridCol w:w="1595"/>
        <w:gridCol w:w="1262"/>
        <w:gridCol w:w="1428"/>
        <w:gridCol w:w="1428"/>
        <w:gridCol w:w="1428"/>
        <w:gridCol w:w="1428"/>
      </w:tblGrid>
      <w:tr w:rsidR="00A10B47" w14:paraId="6898B2EA" w14:textId="77777777" w:rsidTr="00A10B47">
        <w:trPr>
          <w:trHeight w:val="247"/>
        </w:trPr>
        <w:tc>
          <w:tcPr>
            <w:tcW w:w="1595" w:type="dxa"/>
          </w:tcPr>
          <w:p w14:paraId="0D2260AC" w14:textId="77777777" w:rsidR="00D714D3" w:rsidRDefault="00D714D3" w:rsidP="00A10B47">
            <w:pPr>
              <w:pStyle w:val="ColingTextIndent"/>
              <w:ind w:firstLine="0"/>
              <w:jc w:val="center"/>
            </w:pPr>
          </w:p>
        </w:tc>
        <w:tc>
          <w:tcPr>
            <w:tcW w:w="1262" w:type="dxa"/>
          </w:tcPr>
          <w:p w14:paraId="7AE36259" w14:textId="1A38E3B4" w:rsidR="00D714D3" w:rsidRDefault="00800AE8" w:rsidP="00A10B47">
            <w:pPr>
              <w:pStyle w:val="ColingTextIndent"/>
              <w:ind w:firstLine="0"/>
              <w:jc w:val="center"/>
            </w:pPr>
            <w:r>
              <w:t>ctf</w:t>
            </w:r>
          </w:p>
        </w:tc>
        <w:tc>
          <w:tcPr>
            <w:tcW w:w="1428" w:type="dxa"/>
          </w:tcPr>
          <w:p w14:paraId="0040F58F" w14:textId="138422F8" w:rsidR="00D714D3" w:rsidRDefault="00800AE8" w:rsidP="00A10B47">
            <w:pPr>
              <w:pStyle w:val="ColingTextIndent"/>
              <w:ind w:firstLine="0"/>
              <w:jc w:val="center"/>
            </w:pPr>
            <w:r>
              <w:t>df</w:t>
            </w:r>
          </w:p>
        </w:tc>
        <w:tc>
          <w:tcPr>
            <w:tcW w:w="1428" w:type="dxa"/>
          </w:tcPr>
          <w:p w14:paraId="571920ED" w14:textId="53210EA6" w:rsidR="00D714D3" w:rsidRDefault="003D2464" w:rsidP="00A10B47">
            <w:pPr>
              <w:pStyle w:val="ColingTextIndent"/>
              <w:ind w:firstLine="0"/>
              <w:jc w:val="center"/>
            </w:pPr>
            <m:oMathPara>
              <m:oMath>
                <m:r>
                  <w:rPr>
                    <w:rFonts w:ascii="Cambria Math" w:hAnsi="Cambria Math"/>
                    <w:szCs w:val="22"/>
                  </w:rPr>
                  <m:t>μ</m:t>
                </m:r>
              </m:oMath>
            </m:oMathPara>
          </w:p>
        </w:tc>
        <w:tc>
          <w:tcPr>
            <w:tcW w:w="1428" w:type="dxa"/>
          </w:tcPr>
          <w:p w14:paraId="7A1103DB" w14:textId="53FA584B" w:rsidR="00D714D3" w:rsidRDefault="003D2464" w:rsidP="00A10B47">
            <w:pPr>
              <w:pStyle w:val="ColingTextIndent"/>
              <w:ind w:firstLine="0"/>
              <w:jc w:val="center"/>
            </w:pPr>
            <m:oMathPara>
              <m:oMath>
                <m:r>
                  <w:rPr>
                    <w:rFonts w:ascii="Cambria Math" w:hAnsi="Cambria Math"/>
                    <w:szCs w:val="22"/>
                  </w:rPr>
                  <m:t>ν</m:t>
                </m:r>
              </m:oMath>
            </m:oMathPara>
          </w:p>
        </w:tc>
        <w:tc>
          <w:tcPr>
            <w:tcW w:w="1428" w:type="dxa"/>
          </w:tcPr>
          <w:p w14:paraId="79CDD607" w14:textId="60973A6D" w:rsidR="00D714D3" w:rsidRDefault="003D2464" w:rsidP="00A10B47">
            <w:pPr>
              <w:pStyle w:val="ColingTextIndent"/>
              <w:ind w:firstLine="0"/>
              <w:jc w:val="center"/>
            </w:pPr>
            <m:oMathPara>
              <m:oMath>
                <m:r>
                  <w:rPr>
                    <w:rFonts w:ascii="Cambria Math" w:hAnsi="Cambria Math"/>
                    <w:szCs w:val="22"/>
                  </w:rPr>
                  <m:t>ξ</m:t>
                </m:r>
              </m:oMath>
            </m:oMathPara>
          </w:p>
        </w:tc>
      </w:tr>
      <w:tr w:rsidR="00A10B47" w14:paraId="4925B2AE" w14:textId="77777777" w:rsidTr="00A10B47">
        <w:trPr>
          <w:trHeight w:val="247"/>
        </w:trPr>
        <w:tc>
          <w:tcPr>
            <w:tcW w:w="1595" w:type="dxa"/>
          </w:tcPr>
          <w:p w14:paraId="4514BC42" w14:textId="4D4E0D3B" w:rsidR="00D714D3" w:rsidRDefault="00D714D3" w:rsidP="00A10B47">
            <w:pPr>
              <w:pStyle w:val="ColingTextIndent"/>
              <w:ind w:firstLine="0"/>
              <w:jc w:val="center"/>
            </w:pPr>
            <w:r>
              <w:t>Graph</w:t>
            </w:r>
          </w:p>
        </w:tc>
        <w:tc>
          <w:tcPr>
            <w:tcW w:w="1262" w:type="dxa"/>
          </w:tcPr>
          <w:p w14:paraId="4787167A" w14:textId="24A95106" w:rsidR="00D714D3" w:rsidRDefault="003D2464" w:rsidP="00A10B47">
            <w:pPr>
              <w:pStyle w:val="ColingTextIndent"/>
              <w:ind w:firstLine="0"/>
              <w:jc w:val="center"/>
            </w:pPr>
            <w:r>
              <w:t>1000</w:t>
            </w:r>
          </w:p>
        </w:tc>
        <w:tc>
          <w:tcPr>
            <w:tcW w:w="1428" w:type="dxa"/>
          </w:tcPr>
          <w:p w14:paraId="247632BE" w14:textId="0E961C77" w:rsidR="00D714D3" w:rsidRDefault="003D2464" w:rsidP="00A10B47">
            <w:pPr>
              <w:pStyle w:val="ColingTextIndent"/>
              <w:ind w:firstLine="0"/>
              <w:jc w:val="center"/>
            </w:pPr>
            <w:r>
              <w:t>100</w:t>
            </w:r>
          </w:p>
        </w:tc>
        <w:tc>
          <w:tcPr>
            <w:tcW w:w="1428" w:type="dxa"/>
          </w:tcPr>
          <w:p w14:paraId="6585767E" w14:textId="25EC2CF7" w:rsidR="00D714D3" w:rsidRDefault="003D2464" w:rsidP="00A10B47">
            <w:pPr>
              <w:pStyle w:val="ColingTextIndent"/>
              <w:ind w:firstLine="0"/>
              <w:jc w:val="center"/>
            </w:pPr>
            <w:r>
              <w:t>10</w:t>
            </w:r>
          </w:p>
        </w:tc>
        <w:tc>
          <w:tcPr>
            <w:tcW w:w="1428" w:type="dxa"/>
          </w:tcPr>
          <w:p w14:paraId="4C1FA6F3" w14:textId="257AC017" w:rsidR="00D714D3" w:rsidRDefault="00380885" w:rsidP="00A10B47">
            <w:pPr>
              <w:pStyle w:val="ColingTextIndent"/>
              <w:ind w:firstLine="0"/>
              <w:jc w:val="center"/>
            </w:pPr>
            <w:r>
              <w:t>0.0</w:t>
            </w:r>
            <w:r w:rsidR="001228EC">
              <w:t>3</w:t>
            </w:r>
          </w:p>
        </w:tc>
        <w:tc>
          <w:tcPr>
            <w:tcW w:w="1428" w:type="dxa"/>
          </w:tcPr>
          <w:p w14:paraId="755496AF" w14:textId="61A2E74A" w:rsidR="00D714D3" w:rsidRDefault="001228EC" w:rsidP="00A10B47">
            <w:pPr>
              <w:pStyle w:val="ColingTextIndent"/>
              <w:ind w:firstLine="0"/>
              <w:jc w:val="center"/>
            </w:pPr>
            <w:r>
              <w:t>1.5</w:t>
            </w:r>
          </w:p>
        </w:tc>
      </w:tr>
      <w:tr w:rsidR="00A10B47" w14:paraId="4B297B1D" w14:textId="77777777" w:rsidTr="00A10B47">
        <w:trPr>
          <w:trHeight w:val="247"/>
        </w:trPr>
        <w:tc>
          <w:tcPr>
            <w:tcW w:w="1595" w:type="dxa"/>
          </w:tcPr>
          <w:p w14:paraId="4644A7D5" w14:textId="727CB4A6" w:rsidR="00D714D3" w:rsidRDefault="00D714D3" w:rsidP="00A10B47">
            <w:pPr>
              <w:pStyle w:val="ColingTextIndent"/>
              <w:ind w:firstLine="0"/>
              <w:jc w:val="center"/>
            </w:pPr>
            <w:r>
              <w:t>Graph theory</w:t>
            </w:r>
          </w:p>
        </w:tc>
        <w:tc>
          <w:tcPr>
            <w:tcW w:w="1262" w:type="dxa"/>
          </w:tcPr>
          <w:p w14:paraId="52E7826D" w14:textId="7A920D5B" w:rsidR="00D714D3" w:rsidRDefault="00380885" w:rsidP="00A10B47">
            <w:pPr>
              <w:pStyle w:val="ColingTextIndent"/>
              <w:ind w:firstLine="0"/>
              <w:jc w:val="center"/>
            </w:pPr>
            <w:r>
              <w:t>200</w:t>
            </w:r>
          </w:p>
        </w:tc>
        <w:tc>
          <w:tcPr>
            <w:tcW w:w="1428" w:type="dxa"/>
          </w:tcPr>
          <w:p w14:paraId="16836698" w14:textId="501762DB" w:rsidR="00D714D3" w:rsidRDefault="00380885" w:rsidP="00A10B47">
            <w:pPr>
              <w:pStyle w:val="ColingTextIndent"/>
              <w:ind w:firstLine="0"/>
              <w:jc w:val="center"/>
            </w:pPr>
            <w:r>
              <w:t>20</w:t>
            </w:r>
          </w:p>
        </w:tc>
        <w:tc>
          <w:tcPr>
            <w:tcW w:w="1428" w:type="dxa"/>
          </w:tcPr>
          <w:p w14:paraId="4A038446" w14:textId="2C383CB5" w:rsidR="00D714D3" w:rsidRDefault="00380885" w:rsidP="00A10B47">
            <w:pPr>
              <w:pStyle w:val="ColingTextIndent"/>
              <w:ind w:firstLine="0"/>
              <w:jc w:val="center"/>
            </w:pPr>
            <w:r>
              <w:t>10</w:t>
            </w:r>
          </w:p>
        </w:tc>
        <w:tc>
          <w:tcPr>
            <w:tcW w:w="1428" w:type="dxa"/>
          </w:tcPr>
          <w:p w14:paraId="03F64DF8" w14:textId="047DBABB" w:rsidR="00D714D3" w:rsidRDefault="00380885" w:rsidP="00A10B47">
            <w:pPr>
              <w:pStyle w:val="ColingTextIndent"/>
              <w:ind w:firstLine="0"/>
              <w:jc w:val="center"/>
            </w:pPr>
            <w:r>
              <w:t>0.11</w:t>
            </w:r>
          </w:p>
        </w:tc>
        <w:tc>
          <w:tcPr>
            <w:tcW w:w="1428" w:type="dxa"/>
          </w:tcPr>
          <w:p w14:paraId="1B19E316" w14:textId="7929DB50" w:rsidR="00D714D3" w:rsidRDefault="00E25CF2" w:rsidP="00A10B47">
            <w:pPr>
              <w:pStyle w:val="ColingTextIndent"/>
              <w:ind w:firstLine="0"/>
              <w:jc w:val="center"/>
            </w:pPr>
            <w:r>
              <w:t>1.7</w:t>
            </w:r>
          </w:p>
        </w:tc>
      </w:tr>
      <w:tr w:rsidR="00A10B47" w14:paraId="71B1CE8E" w14:textId="77777777" w:rsidTr="00A10B47">
        <w:trPr>
          <w:trHeight w:val="257"/>
        </w:trPr>
        <w:tc>
          <w:tcPr>
            <w:tcW w:w="1595" w:type="dxa"/>
          </w:tcPr>
          <w:p w14:paraId="1164E340" w14:textId="352B2D48" w:rsidR="00D714D3" w:rsidRDefault="00D714D3" w:rsidP="00A10B47">
            <w:pPr>
              <w:pStyle w:val="ColingTextIndent"/>
              <w:ind w:firstLine="0"/>
              <w:jc w:val="center"/>
            </w:pPr>
            <w:r>
              <w:t>Graph traversal</w:t>
            </w:r>
          </w:p>
        </w:tc>
        <w:tc>
          <w:tcPr>
            <w:tcW w:w="1262" w:type="dxa"/>
          </w:tcPr>
          <w:p w14:paraId="666ECE50" w14:textId="55CF837F" w:rsidR="00D714D3" w:rsidRDefault="00E25CF2" w:rsidP="00A10B47">
            <w:pPr>
              <w:pStyle w:val="ColingTextIndent"/>
              <w:ind w:firstLine="0"/>
              <w:jc w:val="center"/>
            </w:pPr>
            <w:r>
              <w:t>100</w:t>
            </w:r>
          </w:p>
        </w:tc>
        <w:tc>
          <w:tcPr>
            <w:tcW w:w="1428" w:type="dxa"/>
          </w:tcPr>
          <w:p w14:paraId="43EDB884" w14:textId="14F48DA9" w:rsidR="00D714D3" w:rsidRDefault="00E25CF2" w:rsidP="00A10B47">
            <w:pPr>
              <w:pStyle w:val="ColingTextIndent"/>
              <w:ind w:firstLine="0"/>
              <w:jc w:val="center"/>
            </w:pPr>
            <w:r>
              <w:t>10</w:t>
            </w:r>
          </w:p>
        </w:tc>
        <w:tc>
          <w:tcPr>
            <w:tcW w:w="1428" w:type="dxa"/>
          </w:tcPr>
          <w:p w14:paraId="11CC778C" w14:textId="04EB3CCD" w:rsidR="00D714D3" w:rsidRDefault="00E25CF2" w:rsidP="00A10B47">
            <w:pPr>
              <w:pStyle w:val="ColingTextIndent"/>
              <w:ind w:firstLine="0"/>
              <w:jc w:val="center"/>
            </w:pPr>
            <w:r>
              <w:t>10</w:t>
            </w:r>
          </w:p>
        </w:tc>
        <w:tc>
          <w:tcPr>
            <w:tcW w:w="1428" w:type="dxa"/>
          </w:tcPr>
          <w:p w14:paraId="6C12F64C" w14:textId="4F8844FC" w:rsidR="00D714D3" w:rsidRDefault="00E25CF2" w:rsidP="00A10B47">
            <w:pPr>
              <w:pStyle w:val="ColingTextIndent"/>
              <w:ind w:firstLine="0"/>
              <w:jc w:val="center"/>
            </w:pPr>
            <w:r>
              <w:t>0.2</w:t>
            </w:r>
          </w:p>
        </w:tc>
        <w:tc>
          <w:tcPr>
            <w:tcW w:w="1428" w:type="dxa"/>
          </w:tcPr>
          <w:p w14:paraId="2E7FA38B" w14:textId="39CB6072" w:rsidR="00D714D3" w:rsidRDefault="00E25CF2" w:rsidP="00A10B47">
            <w:pPr>
              <w:pStyle w:val="ColingTextIndent"/>
              <w:ind w:firstLine="0"/>
              <w:jc w:val="center"/>
            </w:pPr>
            <w:r>
              <w:t>2.0</w:t>
            </w:r>
          </w:p>
        </w:tc>
      </w:tr>
    </w:tbl>
    <w:p w14:paraId="61AC9B6D" w14:textId="01D8C934" w:rsidR="00A10B47" w:rsidRDefault="005E784D" w:rsidP="000E7CE2">
      <w:pPr>
        <w:pStyle w:val="ColingTextIndent"/>
        <w:ind w:firstLine="0"/>
        <w:rPr>
          <w:szCs w:val="22"/>
        </w:rPr>
      </w:pPr>
      <w:r>
        <w:t>Table 1.</w:t>
      </w:r>
      <w:r w:rsidR="00F43EC6">
        <w:t xml:space="preserve"> Hypotheitcal corpus statistics and corresponding </w:t>
      </w:r>
      <m:oMath>
        <m:r>
          <w:rPr>
            <w:rFonts w:ascii="Cambria Math" w:hAnsi="Cambria Math"/>
            <w:szCs w:val="22"/>
          </w:rPr>
          <m:t>μ,ν and ξ</m:t>
        </m:r>
      </m:oMath>
      <w:r w:rsidR="00A10B47">
        <w:rPr>
          <w:szCs w:val="22"/>
        </w:rPr>
        <w:t xml:space="preserve"> for three terms</w:t>
      </w:r>
    </w:p>
    <w:p w14:paraId="74AB8CCE" w14:textId="77777777" w:rsidR="00516A29" w:rsidRPr="00516A29" w:rsidRDefault="00516A29" w:rsidP="000E7CE2">
      <w:pPr>
        <w:pStyle w:val="ColingTextIndent"/>
        <w:ind w:firstLine="0"/>
        <w:rPr>
          <w:szCs w:val="22"/>
        </w:rPr>
      </w:pPr>
    </w:p>
    <w:p w14:paraId="3C301D10" w14:textId="1A8A4385" w:rsidR="00C60E9B" w:rsidRDefault="00C60E9B" w:rsidP="000E7CE2">
      <w:pPr>
        <w:pStyle w:val="ColingTextIndent"/>
        <w:ind w:firstLine="0"/>
      </w:pPr>
      <w:r>
        <w:t xml:space="preserve">Similar to how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is produced by multiplying </w:t>
      </w:r>
      <m:oMath>
        <m:r>
          <w:rPr>
            <w:rFonts w:ascii="Cambria Math" w:hAnsi="Cambria Math"/>
          </w:rPr>
          <m:t>μ</m:t>
        </m:r>
      </m:oMath>
      <w:r>
        <w:t xml:space="preserve"> and TF.IDF other weighting functions,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3</m:t>
            </m:r>
          </m:sub>
        </m:sSub>
      </m:oMath>
      <w:r>
        <w:t xml:space="preserve"> </w:t>
      </w:r>
      <w:r w:rsidR="009D3F2B">
        <w:t>are</w:t>
      </w:r>
      <w:r>
        <w:t xml:space="preserve"> produced using </w:t>
      </w:r>
      <m:oMath>
        <m:r>
          <w:rPr>
            <w:rFonts w:ascii="Cambria Math" w:hAnsi="Cambria Math"/>
          </w:rPr>
          <m:t>ν</m:t>
        </m:r>
      </m:oMath>
      <w:r>
        <w:t xml:space="preserve"> and </w:t>
      </w:r>
      <m:oMath>
        <m:r>
          <w:rPr>
            <w:rFonts w:ascii="Cambria Math" w:hAnsi="Cambria Math"/>
          </w:rPr>
          <m:t>ξ</m:t>
        </m:r>
      </m:oMath>
      <w:r>
        <w:t xml:space="preserve"> respectively. </w:t>
      </w:r>
    </w:p>
    <w:p w14:paraId="1CD7B4B9" w14:textId="77777777" w:rsidR="00C60E9B" w:rsidRDefault="00C60E9B" w:rsidP="00C60E9B">
      <w:pPr>
        <w:jc w:val="both"/>
        <w:rPr>
          <w:sz w:val="22"/>
          <w:szCs w:val="22"/>
        </w:rPr>
      </w:pPr>
    </w:p>
    <w:p w14:paraId="1A3CE2BE" w14:textId="77777777" w:rsidR="00C60E9B" w:rsidRPr="006D3654" w:rsidRDefault="00035357" w:rsidP="00C60E9B">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=TF.IDF</m:t>
          </m:r>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 xml:space="preserve"> × ν     (5)</m:t>
          </m:r>
        </m:oMath>
      </m:oMathPara>
    </w:p>
    <w:p w14:paraId="2CD35C14" w14:textId="77777777" w:rsidR="00C60E9B" w:rsidRPr="00ED43A5" w:rsidRDefault="00035357" w:rsidP="00C60E9B">
      <w:pPr>
        <w:jc w:val="both"/>
        <w:rPr>
          <w:sz w:val="22"/>
          <w:szCs w:val="22"/>
        </w:rPr>
      </w:pPr>
      <m:oMathPara>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=TF.IDF</m:t>
          </m:r>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 xml:space="preserve"> × ξ</m:t>
          </m:r>
          <m:r>
            <m:rPr>
              <m:sty m:val="p"/>
            </m:rPr>
            <w:rPr>
              <w:rFonts w:ascii="Cambria Math" w:hAnsi="Cambria Math"/>
              <w:sz w:val="22"/>
              <w:szCs w:val="22"/>
            </w:rPr>
            <m:t xml:space="preserve"> </m:t>
          </m:r>
          <m:r>
            <w:rPr>
              <w:rFonts w:ascii="Cambria Math" w:hAnsi="Cambria Math"/>
              <w:sz w:val="22"/>
              <w:szCs w:val="22"/>
            </w:rPr>
            <m:t xml:space="preserve">    (6)</m:t>
          </m:r>
        </m:oMath>
      </m:oMathPara>
    </w:p>
    <w:p w14:paraId="438048ED" w14:textId="77777777" w:rsidR="00C60E9B" w:rsidRDefault="00C60E9B" w:rsidP="00C60E9B">
      <w:pPr>
        <w:jc w:val="both"/>
        <w:rPr>
          <w:sz w:val="22"/>
          <w:szCs w:val="22"/>
        </w:rPr>
      </w:pPr>
    </w:p>
    <w:p w14:paraId="2B7A87E3" w14:textId="77777777" w:rsidR="00C60E9B" w:rsidRPr="002E3D2E" w:rsidRDefault="00035357" w:rsidP="00C60E9B">
      <w:pPr>
        <w:jc w:val="both"/>
        <w:rPr>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C60E9B">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oMath>
      <w:r w:rsidR="00C60E9B">
        <w:rPr>
          <w:sz w:val="22"/>
          <w:szCs w:val="22"/>
        </w:rPr>
        <w:t xml:space="preserve"> are able to outperform TF.IDF on datasets 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C60E9B">
        <w:rPr>
          <w:sz w:val="22"/>
          <w:szCs w:val="22"/>
        </w:rPr>
        <w:t xml:space="preserve"> cannot. However this comes at the cost of being outperformed by TF.IDF on some datasets 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C60E9B">
        <w:rPr>
          <w:sz w:val="22"/>
          <w:szCs w:val="22"/>
        </w:rPr>
        <w:t xml:space="preserve"> outperforms. Given these three weighing methods,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C60E9B">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C60E9B">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oMath>
      <w:r w:rsidR="00C60E9B">
        <w:rPr>
          <w:sz w:val="22"/>
          <w:szCs w:val="22"/>
        </w:rPr>
        <w:t xml:space="preserve"> each of which outperforms TF.IDF on some datasets while none outperforming it on all datasets we construct a combined weighting method by calculating their product as seen in equation 7. In other words the final term weight is the geometric mean of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C60E9B">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C60E9B">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oMath>
      <w:r w:rsidR="00C60E9B">
        <w:rPr>
          <w:sz w:val="22"/>
          <w:szCs w:val="22"/>
        </w:rPr>
        <w:t xml:space="preserve"> but without calculating the cube root of the product, as taking the root would affect all terms equally and would not add to the distinguishing power of the term weighting function.</w:t>
      </w:r>
    </w:p>
    <w:p w14:paraId="16BBD680" w14:textId="77777777" w:rsidR="00C60E9B" w:rsidRDefault="00C60E9B" w:rsidP="00C60E9B">
      <w:pPr>
        <w:jc w:val="both"/>
        <w:rPr>
          <w:sz w:val="22"/>
          <w:szCs w:val="22"/>
        </w:rPr>
      </w:pPr>
      <m:oMathPara>
        <m:oMath>
          <m:r>
            <w:rPr>
              <w:rFonts w:ascii="Cambria Math" w:hAnsi="Cambria Math"/>
              <w:sz w:val="22"/>
              <w:szCs w:val="22"/>
            </w:rPr>
            <m:t xml:space="preserve">W=TF.IDF ×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r>
            <w:rPr>
              <w:rFonts w:ascii="Cambria Math" w:hAnsi="Cambria Math"/>
              <w:sz w:val="22"/>
              <w:szCs w:val="22"/>
            </w:rPr>
            <m:t xml:space="preserve">       (7)</m:t>
          </m:r>
        </m:oMath>
      </m:oMathPara>
    </w:p>
    <w:p w14:paraId="3F20A778" w14:textId="77777777" w:rsidR="00C60E9B" w:rsidRDefault="00C60E9B" w:rsidP="00C60E9B">
      <w:pPr>
        <w:jc w:val="both"/>
        <w:rPr>
          <w:sz w:val="22"/>
          <w:szCs w:val="22"/>
        </w:rPr>
      </w:pPr>
      <w:r>
        <w:rPr>
          <w:sz w:val="22"/>
          <w:szCs w:val="22"/>
        </w:rPr>
        <w:t>Expressed in terms of corpus statistics:</w:t>
      </w:r>
    </w:p>
    <w:p w14:paraId="62C57E8F" w14:textId="0C484A8C" w:rsidR="00C60E9B" w:rsidRPr="002E3D2E" w:rsidRDefault="00C60E9B" w:rsidP="00C60E9B">
      <w:pPr>
        <w:jc w:val="both"/>
        <w:rPr>
          <w:sz w:val="22"/>
          <w:szCs w:val="22"/>
        </w:rPr>
      </w:pPr>
    </w:p>
    <w:p w14:paraId="6BA8FFC2" w14:textId="69E89F53" w:rsidR="00C60E9B" w:rsidRPr="00B133E7" w:rsidRDefault="00AA3752" w:rsidP="00C60E9B">
      <w:pPr>
        <w:jc w:val="both"/>
        <w:rPr>
          <w:sz w:val="22"/>
          <w:szCs w:val="22"/>
        </w:rPr>
      </w:pPr>
      <m:oMathPara>
        <m:oMath>
          <m:r>
            <w:rPr>
              <w:rFonts w:ascii="Cambria Math" w:hAnsi="Cambria Math"/>
              <w:sz w:val="22"/>
              <w:szCs w:val="22"/>
            </w:rPr>
            <m:t>W</m:t>
          </m:r>
          <m:d>
            <m:dPr>
              <m:ctrlPr>
                <w:rPr>
                  <w:rFonts w:ascii="Cambria Math" w:hAnsi="Cambria Math"/>
                  <w:i/>
                  <w:sz w:val="22"/>
                  <w:szCs w:val="22"/>
                </w:rPr>
              </m:ctrlPr>
            </m:dPr>
            <m:e>
              <m:r>
                <w:rPr>
                  <w:rFonts w:ascii="Cambria Math" w:hAnsi="Cambria Math"/>
                  <w:sz w:val="22"/>
                  <w:szCs w:val="22"/>
                </w:rPr>
                <m:t>t,d</m:t>
              </m:r>
            </m:e>
          </m:d>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tf.</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df</m:t>
                              </m:r>
                            </m:den>
                          </m:f>
                        </m:e>
                      </m:d>
                    </m:e>
                  </m:func>
                </m:e>
              </m:d>
            </m:e>
            <m:sup>
              <m:r>
                <w:rPr>
                  <w:rFonts w:ascii="Cambria Math" w:hAnsi="Cambria Math"/>
                  <w:sz w:val="22"/>
                  <w:szCs w:val="22"/>
                </w:rPr>
                <m:t>3</m:t>
              </m:r>
            </m:sup>
          </m:s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ctf</m:t>
              </m:r>
            </m:num>
            <m:den>
              <m:r>
                <w:rPr>
                  <w:rFonts w:ascii="Cambria Math" w:hAnsi="Cambria Math"/>
                  <w:sz w:val="22"/>
                  <w:szCs w:val="22"/>
                </w:rPr>
                <m:t>df</m:t>
              </m:r>
            </m:den>
          </m:f>
          <m:r>
            <w:rPr>
              <w:rFonts w:ascii="Cambria Math" w:hAnsi="Cambria Math"/>
              <w:sz w:val="22"/>
              <w:szCs w:val="22"/>
            </w:rPr>
            <m:t>×</m:t>
          </m:r>
          <m:f>
            <m:fPr>
              <m:ctrlPr>
                <w:rPr>
                  <w:rFonts w:ascii="Cambria Math" w:hAnsi="Cambria Math"/>
                  <w:i/>
                  <w:sz w:val="22"/>
                  <w:szCs w:val="22"/>
                </w:rPr>
              </m:ctrlPr>
            </m:fPr>
            <m:num>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ctf</m:t>
                      </m:r>
                    </m:e>
                  </m:d>
                </m:e>
              </m:func>
            </m:num>
            <m:den>
              <m:r>
                <w:rPr>
                  <w:rFonts w:ascii="Cambria Math" w:hAnsi="Cambria Math"/>
                  <w:sz w:val="22"/>
                  <w:szCs w:val="22"/>
                </w:rPr>
                <m:t>df</m:t>
              </m:r>
            </m:den>
          </m:f>
          <m:r>
            <w:rPr>
              <w:rFonts w:ascii="Cambria Math" w:hAnsi="Cambria Math"/>
              <w:sz w:val="22"/>
              <w:szCs w:val="22"/>
            </w:rPr>
            <m:t>×</m:t>
          </m:r>
          <m:f>
            <m:fPr>
              <m:ctrlPr>
                <w:rPr>
                  <w:rFonts w:ascii="Cambria Math" w:hAnsi="Cambria Math"/>
                  <w:i/>
                  <w:sz w:val="22"/>
                  <w:szCs w:val="22"/>
                </w:rPr>
              </m:ctrlPr>
            </m:fPr>
            <m:num>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ctf</m:t>
                      </m:r>
                    </m:e>
                  </m:d>
                </m:e>
              </m:func>
            </m:num>
            <m:den>
              <m:r>
                <m:rPr>
                  <m:sty m:val="p"/>
                </m:rPr>
                <w:rPr>
                  <w:rFonts w:ascii="Cambria Math" w:hAnsi="Cambria Math"/>
                  <w:sz w:val="22"/>
                  <w:szCs w:val="22"/>
                </w:rPr>
                <m:t>log⁡</m:t>
              </m:r>
              <m:r>
                <w:rPr>
                  <w:rFonts w:ascii="Cambria Math" w:hAnsi="Cambria Math"/>
                  <w:sz w:val="22"/>
                  <w:szCs w:val="22"/>
                </w:rPr>
                <m:t>(df)</m:t>
              </m:r>
            </m:den>
          </m:f>
          <m:r>
            <w:rPr>
              <w:rFonts w:ascii="Cambria Math" w:hAnsi="Cambria Math"/>
              <w:sz w:val="22"/>
              <w:szCs w:val="22"/>
            </w:rPr>
            <m:t>(8)</m:t>
          </m:r>
        </m:oMath>
      </m:oMathPara>
    </w:p>
    <w:p w14:paraId="1C3520C6" w14:textId="77777777" w:rsidR="00B133E7" w:rsidRDefault="00B133E7" w:rsidP="00C60E9B">
      <w:pPr>
        <w:jc w:val="both"/>
        <w:rPr>
          <w:sz w:val="22"/>
          <w:szCs w:val="22"/>
        </w:rPr>
      </w:pPr>
    </w:p>
    <w:p w14:paraId="4D68A0B3" w14:textId="77777777" w:rsidR="00C60E9B" w:rsidRDefault="00C60E9B" w:rsidP="00C60E9B">
      <w:pPr>
        <w:jc w:val="both"/>
        <w:rPr>
          <w:sz w:val="22"/>
          <w:szCs w:val="22"/>
        </w:rPr>
      </w:pPr>
      <w:r>
        <w:rPr>
          <w:sz w:val="22"/>
          <w:szCs w:val="22"/>
        </w:rPr>
        <w:t xml:space="preserve">Notice that the only piece of information needed for calculating </w:t>
      </w:r>
      <m:oMath>
        <m:r>
          <w:rPr>
            <w:rFonts w:ascii="Cambria Math" w:hAnsi="Cambria Math"/>
            <w:sz w:val="22"/>
            <w:szCs w:val="22"/>
          </w:rPr>
          <m:t>W</m:t>
        </m:r>
      </m:oMath>
      <w:r>
        <w:rPr>
          <w:sz w:val="22"/>
          <w:szCs w:val="22"/>
        </w:rPr>
        <w:t xml:space="preserve">, in addition to </w:t>
      </w:r>
      <m:oMath>
        <m:r>
          <w:rPr>
            <w:rFonts w:ascii="Cambria Math" w:hAnsi="Cambria Math"/>
            <w:sz w:val="22"/>
            <w:szCs w:val="22"/>
          </w:rPr>
          <m:t>tf</m:t>
        </m:r>
      </m:oMath>
      <w:r>
        <w:rPr>
          <w:sz w:val="22"/>
          <w:szCs w:val="22"/>
        </w:rPr>
        <w:t xml:space="preserve"> and </w:t>
      </w:r>
      <m:oMath>
        <m:r>
          <w:rPr>
            <w:rFonts w:ascii="Cambria Math" w:hAnsi="Cambria Math"/>
            <w:sz w:val="22"/>
            <w:szCs w:val="22"/>
          </w:rPr>
          <m:t>df</m:t>
        </m:r>
      </m:oMath>
      <w:r>
        <w:rPr>
          <w:sz w:val="22"/>
          <w:szCs w:val="22"/>
        </w:rPr>
        <w:t xml:space="preserve"> terms, which are necessary for calculating TF.IDF, is the corpus term frequency (</w:t>
      </w:r>
      <m:oMath>
        <m:r>
          <w:rPr>
            <w:rFonts w:ascii="Cambria Math" w:hAnsi="Cambria Math"/>
            <w:sz w:val="22"/>
            <w:szCs w:val="22"/>
          </w:rPr>
          <m:t>ctf</m:t>
        </m:r>
      </m:oMath>
      <w:r>
        <w:rPr>
          <w:sz w:val="22"/>
          <w:szCs w:val="22"/>
        </w:rPr>
        <w:t xml:space="preserve">). Given </w:t>
      </w:r>
      <m:oMath>
        <m:r>
          <w:rPr>
            <w:rFonts w:ascii="Cambria Math" w:hAnsi="Cambria Math"/>
            <w:sz w:val="22"/>
            <w:szCs w:val="22"/>
          </w:rPr>
          <m:t>ctf</m:t>
        </m:r>
      </m:oMath>
      <w:r>
        <w:rPr>
          <w:sz w:val="22"/>
          <w:szCs w:val="22"/>
        </w:rPr>
        <w:t xml:space="preserve">, </w:t>
      </w:r>
      <m:oMath>
        <m:r>
          <w:rPr>
            <w:rFonts w:ascii="Cambria Math" w:hAnsi="Cambria Math"/>
            <w:sz w:val="22"/>
            <w:szCs w:val="22"/>
          </w:rPr>
          <m:t>W</m:t>
        </m:r>
      </m:oMath>
      <w:r>
        <w:rPr>
          <w:sz w:val="22"/>
          <w:szCs w:val="22"/>
        </w:rPr>
        <w:t xml:space="preserve"> can be computed in constant time. Therefore our proposed term weighting method is on the same order of space and time complexity as TF.IDF.</w:t>
      </w:r>
    </w:p>
    <w:p w14:paraId="41E9CA2B" w14:textId="77777777" w:rsidR="00C60E9B" w:rsidRDefault="00C60E9B" w:rsidP="00783627">
      <w:pPr>
        <w:pStyle w:val="ColingTextIndent"/>
      </w:pPr>
      <w:r>
        <w:t xml:space="preserve">From a practical point of view, systems that use TF.IDF weighting often construct a lookup table where the corpus frequency of a term can be looked up in constant time. The corpus frequency of all terms can be calculated with a single pass through the corpus. For a system to use </w:t>
      </w:r>
      <m:oMath>
        <m:r>
          <w:rPr>
            <w:rFonts w:ascii="Cambria Math" w:hAnsi="Cambria Math"/>
          </w:rPr>
          <m:t>W</m:t>
        </m:r>
      </m:oMath>
      <w:r>
        <w:t xml:space="preserve"> the corpus term frequency of all terms can be calculated in the same pass through the corpus. The term’s </w:t>
      </w:r>
      <m:oMath>
        <m:r>
          <w:rPr>
            <w:rFonts w:ascii="Cambria Math" w:hAnsi="Cambria Math"/>
          </w:rPr>
          <m:t>ctf</m:t>
        </m:r>
      </m:oMath>
      <w:r>
        <w:t xml:space="preserve"> can then be stored along with its </w:t>
      </w:r>
      <m:oMath>
        <m:r>
          <w:rPr>
            <w:rFonts w:ascii="Cambria Math" w:hAnsi="Cambria Math"/>
          </w:rPr>
          <m:t>df</m:t>
        </m:r>
      </m:oMath>
      <w:r>
        <w:t xml:space="preserve"> by allowing one additional space in the lookup table.</w:t>
      </w:r>
    </w:p>
    <w:p w14:paraId="71FB547A" w14:textId="40FDB6FA" w:rsidR="00C60E9B" w:rsidRDefault="00C60E9B" w:rsidP="00C60E9B">
      <w:pPr>
        <w:jc w:val="both"/>
        <w:rPr>
          <w:rFonts w:ascii="Times" w:hAnsi="Times"/>
          <w:sz w:val="22"/>
          <w:szCs w:val="22"/>
        </w:rPr>
      </w:pPr>
      <w:r w:rsidRPr="005836BF">
        <w:rPr>
          <w:rFonts w:ascii="Times" w:hAnsi="Times"/>
          <w:sz w:val="22"/>
          <w:szCs w:val="22"/>
        </w:rPr>
        <w:t xml:space="preserve">In this work similar to the Semeval 2010 TF.IDF baseline [11] we use an n-gram based approach where all </w:t>
      </w:r>
      <w:r>
        <w:rPr>
          <w:rFonts w:ascii="Times" w:hAnsi="Times"/>
          <w:sz w:val="22"/>
          <w:szCs w:val="22"/>
        </w:rPr>
        <w:t>uni-</w:t>
      </w:r>
      <w:r w:rsidRPr="005836BF">
        <w:rPr>
          <w:rFonts w:ascii="Times" w:hAnsi="Times"/>
          <w:sz w:val="22"/>
          <w:szCs w:val="22"/>
        </w:rPr>
        <w:t xml:space="preserve">, </w:t>
      </w:r>
      <w:r>
        <w:rPr>
          <w:rFonts w:ascii="Times" w:hAnsi="Times"/>
          <w:sz w:val="22"/>
          <w:szCs w:val="22"/>
        </w:rPr>
        <w:t>bi- and tri</w:t>
      </w:r>
      <w:r w:rsidRPr="005836BF">
        <w:rPr>
          <w:rFonts w:ascii="Times" w:hAnsi="Times"/>
          <w:sz w:val="22"/>
          <w:szCs w:val="22"/>
        </w:rPr>
        <w:t>-grams in the document are considered as keyphrase candidate terms.</w:t>
      </w:r>
    </w:p>
    <w:p w14:paraId="7CA7FD92" w14:textId="53B7BD47" w:rsidR="00036911" w:rsidRDefault="00036911" w:rsidP="00036911">
      <w:pPr>
        <w:pStyle w:val="ColingSection"/>
      </w:pPr>
      <w:r>
        <w:t>Related Works</w:t>
      </w:r>
    </w:p>
    <w:p w14:paraId="74BE9CEC" w14:textId="6E48ABE0" w:rsidR="004A58D1" w:rsidRDefault="004A58D1" w:rsidP="004A58D1">
      <w:pPr>
        <w:pStyle w:val="EACLText"/>
        <w:rPr>
          <w:szCs w:val="22"/>
        </w:rPr>
      </w:pPr>
      <w:r>
        <w:t>One of the oldest and still widely used term weighting methods is TF.IDF. The abbreviation TF stands for term frequency. Using term frequency as a heuristic for determining important words in the text was first suggested by Salton</w:t>
      </w:r>
      <w:r w:rsidR="00581A27">
        <w:t xml:space="preserve"> and Lesk</w:t>
      </w:r>
      <w:r>
        <w:t xml:space="preserve"> [20] in 1968. It was based on the natural intuition that a word which occurs more times in a document is more likely to be a keyphrase. IDF which stands for inverse do</w:t>
      </w:r>
      <w:r>
        <w:t>c</w:t>
      </w:r>
      <w:r>
        <w:t>ument frequency was proposed by Jones in [7] as a method of incorporating the rareness of a word in estimating its importance. The basic intuition behind IDF is that words which occur in more doc</w:t>
      </w:r>
      <w:r>
        <w:t>u</w:t>
      </w:r>
      <w:r>
        <w:t xml:space="preserve">ments in a given corpus are less likely to be important to the meaning of any specific one. Therefore IDF assigns higher weights to terms that occur in fewer documents. In their 1975 paper Slaton et al. put term frequency and inverse document frequency together as TF.IDF [19]. The intuition being that </w:t>
      </w:r>
      <w:r>
        <w:lastRenderedPageBreak/>
        <w:t xml:space="preserve">TF would distinguish relevant terms while IDF would weed out unimportant ones. </w:t>
      </w:r>
      <w:r w:rsidRPr="00D94DD9">
        <w:rPr>
          <w:szCs w:val="22"/>
        </w:rPr>
        <w:t>In [18] Robertson provides an overview of the different theoretical explanations of IDF</w:t>
      </w:r>
      <w:r>
        <w:rPr>
          <w:szCs w:val="22"/>
        </w:rPr>
        <w:t>.</w:t>
      </w:r>
    </w:p>
    <w:p w14:paraId="4F970B6F" w14:textId="77777777" w:rsidR="004A58D1" w:rsidRPr="00D94DD9" w:rsidRDefault="004A58D1" w:rsidP="0094772F">
      <w:pPr>
        <w:pStyle w:val="ColingTextIndent"/>
      </w:pPr>
      <w:r w:rsidRPr="00D94DD9">
        <w:t>Although TF.IDF was first introduced in the context of information retrieval it has been used as and remains a competitive baseline for unsupervised keyword extraction [12, 5].</w:t>
      </w:r>
    </w:p>
    <w:p w14:paraId="709E8B58" w14:textId="77777777" w:rsidR="004A58D1" w:rsidRPr="00D94DD9" w:rsidRDefault="004A58D1" w:rsidP="0094772F">
      <w:pPr>
        <w:pStyle w:val="ColingTextIndent"/>
      </w:pPr>
      <w:r w:rsidRPr="00D94DD9">
        <w:t xml:space="preserve">In </w:t>
      </w:r>
      <w:r w:rsidRPr="00D94DD9">
        <w:rPr>
          <w:rFonts w:ascii="Times" w:hAnsi="Times" w:cs="Arial"/>
          <w:shd w:val="clear" w:color="auto" w:fill="FFFFFF"/>
        </w:rPr>
        <w:t>[21]</w:t>
      </w:r>
      <w:r w:rsidRPr="00D94DD9">
        <w:t xml:space="preserve"> Tian et al suggest an improvement to TF.IDF by incorporating not only the frequency of a term but also its distribution. They argue that the occurrences of an important term are more likely to be even</w:t>
      </w:r>
      <w:r>
        <w:t>ly spread out in the document w</w:t>
      </w:r>
      <w:r w:rsidRPr="00D94DD9">
        <w:t xml:space="preserve">hereas terms that occur frequently only in certain parts of the document are more likely to be important to those parts but not the document as a whole. The authors further argue that the opposite is true about the term’s distribution in the corpus: Terms that are less uniformly distributed in the corpus are more likely to be of importance to their respective documents. The idea that a less uniform corpus distribution corresponds to a higher likelihood of a term being a keyphrase is </w:t>
      </w:r>
      <w:r>
        <w:t xml:space="preserve">very similar to </w:t>
      </w:r>
      <w:r w:rsidRPr="00D94DD9">
        <w:t xml:space="preserve">our </w:t>
      </w:r>
      <w:r>
        <w:t>intuition</w:t>
      </w:r>
      <w:r w:rsidRPr="00D94DD9">
        <w:t xml:space="preserve"> </w:t>
      </w:r>
      <w:r>
        <w:t xml:space="preserve">that </w:t>
      </w:r>
      <m:oMath>
        <m:r>
          <w:rPr>
            <w:rFonts w:ascii="Cambria Math" w:hAnsi="Cambria Math"/>
          </w:rPr>
          <m:t>μ</m:t>
        </m:r>
      </m:oMath>
      <w:r>
        <w:t xml:space="preserve"> could be used as a heuristic to better distinguish keyphrases. </w:t>
      </w:r>
    </w:p>
    <w:p w14:paraId="0D54B000" w14:textId="77777777" w:rsidR="004A58D1" w:rsidRDefault="004A58D1" w:rsidP="0094772F">
      <w:pPr>
        <w:pStyle w:val="ColingTextIndent"/>
      </w:pPr>
      <w:r w:rsidRPr="00D94DD9">
        <w:t xml:space="preserve">To the best of our knowledge our approach for incorporating </w:t>
      </w:r>
      <w:r>
        <w:t>corpus term frequency</w:t>
      </w:r>
      <w:r w:rsidRPr="00D94DD9">
        <w:t xml:space="preserve"> into the TF.IDF product to improve keyphrase extraction is novel.</w:t>
      </w:r>
      <w:r>
        <w:t xml:space="preserve"> In </w:t>
      </w:r>
      <w:r w:rsidRPr="00D94DD9">
        <w:t>[</w:t>
      </w:r>
      <w:r>
        <w:t>26</w:t>
      </w:r>
      <w:r w:rsidRPr="00D94DD9">
        <w:t>]</w:t>
      </w:r>
      <w:r>
        <w:t xml:space="preserve"> average term frequency (</w:t>
      </w:r>
      <m:oMath>
        <m:r>
          <w:rPr>
            <w:rFonts w:ascii="Cambria Math" w:hAnsi="Cambria Math"/>
          </w:rPr>
          <m:t>μ</m:t>
        </m:r>
      </m:oMath>
      <w:r>
        <w:t xml:space="preserve">) is referred to as density and used to construct a weighting scheme for keyphrase extraction named TF.Density which is proportional to a term’s </w:t>
      </w:r>
      <m:oMath>
        <m:r>
          <w:rPr>
            <w:rFonts w:ascii="Cambria Math" w:hAnsi="Cambria Math"/>
          </w:rPr>
          <m:t>μ</m:t>
        </m:r>
      </m:oMath>
      <w:r>
        <w:t>, as is our method. However their weighting function is very different from ours. Furthermore their method is specialized for news corpuses and takes into account temporal information regarding a document, as it would represent a news event, whereas our weighting scheme is more general purpose.</w:t>
      </w:r>
      <w:r w:rsidRPr="00D94DD9">
        <w:t xml:space="preserve"> </w:t>
      </w:r>
    </w:p>
    <w:p w14:paraId="04F09B63" w14:textId="77777777" w:rsidR="004A58D1" w:rsidRDefault="004A58D1" w:rsidP="0094772F">
      <w:pPr>
        <w:pStyle w:val="ColingTextIndent"/>
      </w:pPr>
      <w:r w:rsidRPr="00D94DD9">
        <w:t xml:space="preserve">In the context of information retrieval </w:t>
      </w:r>
      <m:oMath>
        <m:r>
          <w:rPr>
            <w:rFonts w:ascii="Cambria Math" w:hAnsi="Cambria Math"/>
          </w:rPr>
          <m:t>μ</m:t>
        </m:r>
      </m:oMath>
      <w:r>
        <w:t xml:space="preserve"> </w:t>
      </w:r>
      <w:r w:rsidRPr="00D94DD9">
        <w:t xml:space="preserve">has been suggested for assigning weights to terms in short queries [10] as an alternative to TF.IDF. More recently in 2013 an enhancement to TF.IDF term weighting for query-based retrieval has been proposed in [17]. Similar to our approach, in this work IDF is multiplied by a function of </w:t>
      </w:r>
      <m:oMath>
        <m:r>
          <w:rPr>
            <w:rFonts w:ascii="Cambria Math" w:hAnsi="Cambria Math"/>
          </w:rPr>
          <m:t>μ</m:t>
        </m:r>
      </m:oMath>
      <w:r>
        <w:t xml:space="preserve">. </w:t>
      </w:r>
      <w:r w:rsidRPr="00D94DD9">
        <w:t xml:space="preserve">However the term added to the TF.IDF product is </w:t>
      </w:r>
      <m:oMath>
        <m:f>
          <m:fPr>
            <m:ctrlPr>
              <w:rPr>
                <w:rFonts w:ascii="Cambria Math" w:hAnsi="Cambria Math"/>
                <w:i/>
              </w:rPr>
            </m:ctrlPr>
          </m:fPr>
          <m:num>
            <m:r>
              <w:rPr>
                <w:rFonts w:ascii="Cambria Math" w:hAnsi="Cambria Math"/>
              </w:rPr>
              <m:t>μ</m:t>
            </m:r>
          </m:num>
          <m:den>
            <m:r>
              <w:rPr>
                <w:rFonts w:ascii="Cambria Math" w:hAnsi="Cambria Math"/>
              </w:rPr>
              <m:t>μ+1</m:t>
            </m:r>
          </m:den>
        </m:f>
      </m:oMath>
      <w:r w:rsidRPr="00D94DD9">
        <w:t xml:space="preserve">, which is different from our incorporation of </w:t>
      </w:r>
      <m:oMath>
        <m:r>
          <w:rPr>
            <w:rFonts w:ascii="Cambria Math" w:hAnsi="Cambria Math"/>
          </w:rPr>
          <m:t>μ</m:t>
        </m:r>
      </m:oMath>
      <w:r>
        <w:t xml:space="preserve"> </w:t>
      </w:r>
      <w:r w:rsidRPr="00D94DD9">
        <w:t>as</w:t>
      </w:r>
      <w:r>
        <w:t xml:space="preserve"> seen in equation 8</w:t>
      </w:r>
      <w:r w:rsidRPr="00D94DD9">
        <w:t xml:space="preserve">. Furthermore we have focused on keyphrase extraction and show noticeable improvement whereas the aim in [17] is to improve query based retrieval accuracy and they </w:t>
      </w:r>
      <w:r>
        <w:t>report</w:t>
      </w:r>
      <w:r w:rsidRPr="00D94DD9">
        <w:t xml:space="preserve"> a small contribution </w:t>
      </w:r>
      <w:r>
        <w:t>to their performance from</w:t>
      </w:r>
      <w:r w:rsidRPr="00D94DD9">
        <w:t xml:space="preserve"> incorporating </w:t>
      </w:r>
      <m:oMath>
        <m:r>
          <w:rPr>
            <w:rFonts w:ascii="Cambria Math" w:hAnsi="Cambria Math"/>
          </w:rPr>
          <m:t>μ</m:t>
        </m:r>
      </m:oMath>
      <w:r w:rsidRPr="00D94DD9">
        <w:t xml:space="preserve"> </w:t>
      </w:r>
      <w:r>
        <w:t>in the afo</w:t>
      </w:r>
      <w:r w:rsidRPr="00D94DD9">
        <w:t>rementioned manner.</w:t>
      </w:r>
      <w:r>
        <w:t xml:space="preserve"> </w:t>
      </w:r>
    </w:p>
    <w:p w14:paraId="7B1A8DC3" w14:textId="02D43FDB" w:rsidR="004A58D1" w:rsidRDefault="00994D5D" w:rsidP="00131DE0">
      <w:pPr>
        <w:pStyle w:val="ColingSection"/>
      </w:pPr>
      <w:r>
        <w:t>Evaluaition</w:t>
      </w:r>
    </w:p>
    <w:p w14:paraId="052CA61D" w14:textId="7974F11C" w:rsidR="00A30DB9" w:rsidRDefault="00A30DB9" w:rsidP="00A30DB9">
      <w:pPr>
        <w:pStyle w:val="EACLText"/>
        <w:rPr>
          <w:szCs w:val="22"/>
        </w:rPr>
      </w:pPr>
      <w:r w:rsidRPr="00D94DD9">
        <w:rPr>
          <w:szCs w:val="22"/>
        </w:rPr>
        <w:t>We compare</w:t>
      </w:r>
      <w:r>
        <w:rPr>
          <w:szCs w:val="22"/>
        </w:rPr>
        <w:t xml:space="preserve"> our proposed term weighting schemes</w:t>
      </w:r>
      <w:r w:rsidRPr="00D94DD9">
        <w:rPr>
          <w:szCs w:val="22"/>
        </w:rPr>
        <w:t xml:space="preserve"> </w:t>
      </w:r>
      <w:r>
        <w:rPr>
          <w:szCs w:val="22"/>
        </w:rPr>
        <w:t>(</w:t>
      </w:r>
      <m:oMath>
        <m:r>
          <w:rPr>
            <w:rFonts w:ascii="Cambria Math" w:hAnsi="Cambria Math"/>
            <w:szCs w:val="22"/>
          </w:rPr>
          <m:t>W</m:t>
        </m:r>
      </m:oMath>
      <w:r>
        <w:rPr>
          <w:szCs w:val="22"/>
        </w:rPr>
        <w:t>)</w:t>
      </w:r>
      <w:r w:rsidRPr="00D94DD9">
        <w:rPr>
          <w:szCs w:val="22"/>
        </w:rPr>
        <w:t xml:space="preserve"> with TF.IDF on </w:t>
      </w:r>
      <w:r>
        <w:rPr>
          <w:szCs w:val="22"/>
        </w:rPr>
        <w:t>four</w:t>
      </w:r>
      <w:r w:rsidRPr="00D94DD9">
        <w:rPr>
          <w:szCs w:val="22"/>
        </w:rPr>
        <w:t xml:space="preserve"> da</w:t>
      </w:r>
      <w:r>
        <w:rPr>
          <w:szCs w:val="22"/>
        </w:rPr>
        <w:t>tasets. The first is the S</w:t>
      </w:r>
      <w:r w:rsidRPr="00D94DD9">
        <w:rPr>
          <w:szCs w:val="22"/>
        </w:rPr>
        <w:t>emeval 2010 keyphrase extrac</w:t>
      </w:r>
      <w:r>
        <w:rPr>
          <w:szCs w:val="22"/>
        </w:rPr>
        <w:t xml:space="preserve">tion </w:t>
      </w:r>
      <w:r w:rsidRPr="00D94DD9">
        <w:rPr>
          <w:szCs w:val="22"/>
        </w:rPr>
        <w:t>dataset which consists of 284 full-length articles from the ACM digital library. Each article has two sets of keywords ass</w:t>
      </w:r>
      <w:r>
        <w:rPr>
          <w:szCs w:val="22"/>
        </w:rPr>
        <w:t>igned to it,</w:t>
      </w:r>
      <w:r w:rsidRPr="00D94DD9">
        <w:rPr>
          <w:szCs w:val="22"/>
        </w:rPr>
        <w:t xml:space="preserve"> one set is assigned by the author, the other by a designated group of readers. In </w:t>
      </w:r>
      <w:r>
        <w:rPr>
          <w:szCs w:val="22"/>
        </w:rPr>
        <w:t>our evaluation, similar to the S</w:t>
      </w:r>
      <w:r w:rsidRPr="00D94DD9">
        <w:rPr>
          <w:szCs w:val="22"/>
        </w:rPr>
        <w:t>emeval task, we use the union of the sets of keyphrases assigned by readers and the author to calculate precision and recall. A more detailed descr</w:t>
      </w:r>
      <w:r>
        <w:rPr>
          <w:szCs w:val="22"/>
        </w:rPr>
        <w:t>iption of this dataset and the S</w:t>
      </w:r>
      <w:r w:rsidRPr="00D94DD9">
        <w:rPr>
          <w:szCs w:val="22"/>
        </w:rPr>
        <w:t xml:space="preserve">emeval task is available in [11]. We compare term rankings produced using </w:t>
      </w:r>
      <m:oMath>
        <m:r>
          <w:rPr>
            <w:rFonts w:ascii="Cambria Math" w:hAnsi="Cambria Math"/>
            <w:szCs w:val="22"/>
          </w:rPr>
          <m:t>W</m:t>
        </m:r>
      </m:oMath>
      <w:r w:rsidRPr="00D94DD9">
        <w:rPr>
          <w:szCs w:val="22"/>
        </w:rPr>
        <w:t xml:space="preserve"> against those produced by TF.IDF using the precision and recall at k me</w:t>
      </w:r>
      <w:r w:rsidRPr="00D94DD9">
        <w:rPr>
          <w:szCs w:val="22"/>
        </w:rPr>
        <w:t>t</w:t>
      </w:r>
      <w:r w:rsidRPr="00D94DD9">
        <w:rPr>
          <w:szCs w:val="22"/>
        </w:rPr>
        <w:t>ric. That is, we compute the precision and recall for the k top ranked terms for each algorithm, for di</w:t>
      </w:r>
      <w:r w:rsidRPr="00D94DD9">
        <w:rPr>
          <w:szCs w:val="22"/>
        </w:rPr>
        <w:t>f</w:t>
      </w:r>
      <w:r w:rsidRPr="00D94DD9">
        <w:rPr>
          <w:szCs w:val="22"/>
        </w:rPr>
        <w:t xml:space="preserve">ferent k. The precision recall curves that will follow in this section are for k from 1 to 30. </w:t>
      </w:r>
    </w:p>
    <w:p w14:paraId="1CED5358" w14:textId="77777777" w:rsidR="00A30DB9" w:rsidRDefault="00A30DB9" w:rsidP="00A30DB9">
      <w:pPr>
        <w:pStyle w:val="ColingTextIndent"/>
      </w:pPr>
      <w:r>
        <w:t>In our experiments any 1, 2 and 3-gram was</w:t>
      </w:r>
      <w:r w:rsidRPr="00D94DD9">
        <w:t xml:space="preserve"> considered a term and a keyphrase candidate. No stop word filter</w:t>
      </w:r>
      <w:r>
        <w:t xml:space="preserve">ing was </w:t>
      </w:r>
      <w:r w:rsidRPr="00D94DD9">
        <w:t xml:space="preserve">performed. This is because some keyphrases contain stop words such as ‘Of’. All words </w:t>
      </w:r>
      <w:r>
        <w:t xml:space="preserve">in the corpus were </w:t>
      </w:r>
      <w:r w:rsidRPr="00D94DD9">
        <w:t xml:space="preserve">stemmed. </w:t>
      </w:r>
      <w:r>
        <w:t xml:space="preserve">Figure 1 shows the precision recall curves for the Semeval corpus. </w:t>
      </w:r>
      <w:r w:rsidRPr="00D94DD9">
        <w:t>Table 1</w:t>
      </w:r>
      <w:r>
        <w:t xml:space="preserve"> shows the F1 scores for the S</w:t>
      </w:r>
      <w:r w:rsidRPr="00D94DD9">
        <w:t xml:space="preserve">emeval corpus and </w:t>
      </w:r>
      <w:r>
        <w:t>the</w:t>
      </w:r>
      <w:r w:rsidRPr="00D94DD9">
        <w:t xml:space="preserve"> improve</w:t>
      </w:r>
      <w:r>
        <w:t xml:space="preserve">ments made by </w:t>
      </w:r>
      <m:oMath>
        <m:r>
          <w:rPr>
            <w:rFonts w:ascii="Cambria Math" w:hAnsi="Cambria Math"/>
          </w:rPr>
          <m:t>W</m:t>
        </m:r>
      </m:oMath>
      <w:r>
        <w:t xml:space="preserve"> over TF.IDF at</w:t>
      </w:r>
      <w:r w:rsidRPr="00D94DD9">
        <w:t xml:space="preserve"> k = 5,10 and 15.</w:t>
      </w:r>
    </w:p>
    <w:p w14:paraId="54A07B5F" w14:textId="7B32A05A" w:rsidR="00F201DE" w:rsidRDefault="000811E0" w:rsidP="00A30DB9">
      <w:pPr>
        <w:pStyle w:val="ColingTextIndent"/>
      </w:pPr>
      <w:r>
        <w:rPr>
          <w:noProof/>
          <w:lang w:val="en-US" w:eastAsia="en-US"/>
        </w:rPr>
        <w:lastRenderedPageBreak/>
        <w:t xml:space="preserve"> </w:t>
      </w:r>
      <w:r>
        <w:rPr>
          <w:noProof/>
          <w:lang w:val="en-US" w:eastAsia="en-US"/>
        </w:rPr>
        <w:drawing>
          <wp:inline distT="0" distB="0" distL="0" distR="0" wp14:anchorId="288B5CF7" wp14:editId="3420B0D1">
            <wp:extent cx="2730513" cy="16814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Stfidf-semev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2059" cy="1682432"/>
                    </a:xfrm>
                    <a:prstGeom prst="rect">
                      <a:avLst/>
                    </a:prstGeom>
                  </pic:spPr>
                </pic:pic>
              </a:graphicData>
            </a:graphic>
          </wp:inline>
        </w:drawing>
      </w:r>
    </w:p>
    <w:p w14:paraId="5C04407F" w14:textId="52063402" w:rsidR="00753196" w:rsidRDefault="00753196" w:rsidP="00A30DB9">
      <w:pPr>
        <w:pStyle w:val="ColingTextIndent"/>
      </w:pPr>
    </w:p>
    <w:p w14:paraId="0A6AF9AB" w14:textId="185FBC26" w:rsidR="00F476E9" w:rsidRDefault="00F476E9" w:rsidP="00FD0A4A">
      <w:pPr>
        <w:pStyle w:val="Caption"/>
        <w:keepNext/>
        <w:rPr>
          <w:b w:val="0"/>
          <w:sz w:val="22"/>
          <w:szCs w:val="22"/>
        </w:rPr>
      </w:pPr>
      <w:r>
        <w:rPr>
          <w:b w:val="0"/>
          <w:sz w:val="22"/>
          <w:szCs w:val="22"/>
        </w:rPr>
        <w:t xml:space="preserve">Figure 1. Precision Recall </w:t>
      </w:r>
      <w:r w:rsidR="00FD0A4A">
        <w:rPr>
          <w:b w:val="0"/>
          <w:sz w:val="22"/>
          <w:szCs w:val="22"/>
        </w:rPr>
        <w:t>and F-measure improv</w:t>
      </w:r>
      <w:r w:rsidR="00FD0A4A">
        <w:rPr>
          <w:b w:val="0"/>
          <w:sz w:val="22"/>
          <w:szCs w:val="22"/>
        </w:rPr>
        <w:t>e</w:t>
      </w:r>
      <w:r w:rsidR="00FD0A4A">
        <w:rPr>
          <w:b w:val="0"/>
          <w:sz w:val="22"/>
          <w:szCs w:val="22"/>
        </w:rPr>
        <w:t xml:space="preserve">ments </w:t>
      </w:r>
      <w:r>
        <w:rPr>
          <w:b w:val="0"/>
          <w:sz w:val="22"/>
          <w:szCs w:val="22"/>
        </w:rPr>
        <w:t>for Semeval corpus</w:t>
      </w:r>
    </w:p>
    <w:p w14:paraId="35BDEDA0" w14:textId="77777777" w:rsidR="009B7567" w:rsidRPr="009B7567" w:rsidRDefault="009B7567" w:rsidP="009B7567"/>
    <w:tbl>
      <w:tblPr>
        <w:tblStyle w:val="TableGrid"/>
        <w:tblpPr w:leftFromText="180" w:rightFromText="180" w:vertAnchor="text" w:horzAnchor="page" w:tblpX="6027" w:tblpY="-2562"/>
        <w:tblW w:w="4325" w:type="dxa"/>
        <w:tblLook w:val="04A0" w:firstRow="1" w:lastRow="0" w:firstColumn="1" w:lastColumn="0" w:noHBand="0" w:noVBand="1"/>
      </w:tblPr>
      <w:tblGrid>
        <w:gridCol w:w="893"/>
        <w:gridCol w:w="995"/>
        <w:gridCol w:w="949"/>
        <w:gridCol w:w="1488"/>
      </w:tblGrid>
      <w:tr w:rsidR="00336532" w:rsidRPr="00D94DD9" w14:paraId="2661EC06" w14:textId="77777777" w:rsidTr="00336532">
        <w:trPr>
          <w:trHeight w:val="557"/>
        </w:trPr>
        <w:tc>
          <w:tcPr>
            <w:tcW w:w="893" w:type="dxa"/>
          </w:tcPr>
          <w:p w14:paraId="61655D70" w14:textId="77777777" w:rsidR="00336532" w:rsidRPr="00D94DD9" w:rsidRDefault="00336532" w:rsidP="00336532">
            <w:pPr>
              <w:jc w:val="both"/>
              <w:rPr>
                <w:sz w:val="22"/>
                <w:szCs w:val="22"/>
              </w:rPr>
            </w:pPr>
            <w:r w:rsidRPr="00D94DD9">
              <w:rPr>
                <w:sz w:val="22"/>
                <w:szCs w:val="22"/>
              </w:rPr>
              <w:t>K=</w:t>
            </w:r>
          </w:p>
        </w:tc>
        <w:tc>
          <w:tcPr>
            <w:tcW w:w="995" w:type="dxa"/>
          </w:tcPr>
          <w:p w14:paraId="08BE6B15" w14:textId="77777777" w:rsidR="00336532" w:rsidRPr="00D94DD9" w:rsidRDefault="00336532" w:rsidP="00336532">
            <w:pPr>
              <w:jc w:val="both"/>
              <w:rPr>
                <w:sz w:val="22"/>
                <w:szCs w:val="22"/>
              </w:rPr>
            </w:pPr>
            <w:r w:rsidRPr="00D94DD9">
              <w:rPr>
                <w:sz w:val="22"/>
                <w:szCs w:val="22"/>
              </w:rPr>
              <w:t>TF.IDF</w:t>
            </w:r>
          </w:p>
        </w:tc>
        <w:tc>
          <w:tcPr>
            <w:tcW w:w="949" w:type="dxa"/>
          </w:tcPr>
          <w:p w14:paraId="0C1EAC7F" w14:textId="77777777" w:rsidR="00336532" w:rsidRPr="00D94DD9" w:rsidRDefault="00336532" w:rsidP="00336532">
            <w:pPr>
              <w:jc w:val="both"/>
              <w:rPr>
                <w:sz w:val="22"/>
                <w:szCs w:val="22"/>
              </w:rPr>
            </w:pPr>
            <w:r>
              <w:rPr>
                <w:sz w:val="22"/>
                <w:szCs w:val="22"/>
              </w:rPr>
              <w:t>W</w:t>
            </w:r>
          </w:p>
        </w:tc>
        <w:tc>
          <w:tcPr>
            <w:tcW w:w="1488" w:type="dxa"/>
          </w:tcPr>
          <w:p w14:paraId="0FCC2987" w14:textId="77777777" w:rsidR="00336532" w:rsidRPr="00D94DD9" w:rsidRDefault="00336532" w:rsidP="00336532">
            <w:pPr>
              <w:jc w:val="both"/>
              <w:rPr>
                <w:sz w:val="22"/>
                <w:szCs w:val="22"/>
              </w:rPr>
            </w:pPr>
            <w:r>
              <w:rPr>
                <w:sz w:val="22"/>
                <w:szCs w:val="22"/>
              </w:rPr>
              <w:t xml:space="preserve"> I</w:t>
            </w:r>
            <w:r w:rsidRPr="00D94DD9">
              <w:rPr>
                <w:sz w:val="22"/>
                <w:szCs w:val="22"/>
              </w:rPr>
              <w:t>mprovement</w:t>
            </w:r>
          </w:p>
        </w:tc>
      </w:tr>
      <w:tr w:rsidR="00336532" w:rsidRPr="00D94DD9" w14:paraId="414AC969" w14:textId="77777777" w:rsidTr="00336532">
        <w:trPr>
          <w:trHeight w:val="264"/>
        </w:trPr>
        <w:tc>
          <w:tcPr>
            <w:tcW w:w="893" w:type="dxa"/>
          </w:tcPr>
          <w:p w14:paraId="15A85CB4" w14:textId="77777777" w:rsidR="00336532" w:rsidRPr="00D94DD9" w:rsidRDefault="00336532" w:rsidP="00336532">
            <w:pPr>
              <w:jc w:val="both"/>
              <w:rPr>
                <w:sz w:val="22"/>
                <w:szCs w:val="22"/>
              </w:rPr>
            </w:pPr>
            <w:r w:rsidRPr="00D94DD9">
              <w:rPr>
                <w:sz w:val="22"/>
                <w:szCs w:val="22"/>
              </w:rPr>
              <w:t>5</w:t>
            </w:r>
          </w:p>
        </w:tc>
        <w:tc>
          <w:tcPr>
            <w:tcW w:w="995" w:type="dxa"/>
          </w:tcPr>
          <w:p w14:paraId="76F9138B" w14:textId="77777777" w:rsidR="00336532" w:rsidRPr="00D94DD9" w:rsidRDefault="00336532" w:rsidP="00336532">
            <w:pPr>
              <w:jc w:val="both"/>
              <w:rPr>
                <w:sz w:val="22"/>
                <w:szCs w:val="22"/>
              </w:rPr>
            </w:pPr>
            <w:r w:rsidRPr="00D94DD9">
              <w:rPr>
                <w:sz w:val="22"/>
                <w:szCs w:val="22"/>
              </w:rPr>
              <w:t>0.117</w:t>
            </w:r>
          </w:p>
        </w:tc>
        <w:tc>
          <w:tcPr>
            <w:tcW w:w="949" w:type="dxa"/>
          </w:tcPr>
          <w:p w14:paraId="4C6FB781" w14:textId="77777777" w:rsidR="00336532" w:rsidRPr="00D94DD9" w:rsidRDefault="00336532" w:rsidP="00336532">
            <w:pPr>
              <w:jc w:val="both"/>
              <w:rPr>
                <w:sz w:val="22"/>
                <w:szCs w:val="22"/>
              </w:rPr>
            </w:pPr>
            <w:r>
              <w:rPr>
                <w:sz w:val="22"/>
                <w:szCs w:val="22"/>
              </w:rPr>
              <w:t>0.124</w:t>
            </w:r>
          </w:p>
        </w:tc>
        <w:tc>
          <w:tcPr>
            <w:tcW w:w="1488" w:type="dxa"/>
          </w:tcPr>
          <w:p w14:paraId="74DF9B03" w14:textId="77777777" w:rsidR="00336532" w:rsidRPr="00D94DD9" w:rsidRDefault="00336532" w:rsidP="00336532">
            <w:pPr>
              <w:jc w:val="both"/>
              <w:rPr>
                <w:sz w:val="22"/>
                <w:szCs w:val="22"/>
              </w:rPr>
            </w:pPr>
            <w:r>
              <w:rPr>
                <w:sz w:val="22"/>
                <w:szCs w:val="22"/>
              </w:rPr>
              <w:t>5.64</w:t>
            </w:r>
            <w:r w:rsidRPr="00D94DD9">
              <w:rPr>
                <w:sz w:val="22"/>
                <w:szCs w:val="22"/>
              </w:rPr>
              <w:t>%</w:t>
            </w:r>
          </w:p>
        </w:tc>
      </w:tr>
      <w:tr w:rsidR="00336532" w:rsidRPr="00D94DD9" w14:paraId="17FC3F12" w14:textId="77777777" w:rsidTr="00336532">
        <w:trPr>
          <w:trHeight w:val="278"/>
        </w:trPr>
        <w:tc>
          <w:tcPr>
            <w:tcW w:w="893" w:type="dxa"/>
          </w:tcPr>
          <w:p w14:paraId="6D1D9CC8" w14:textId="77777777" w:rsidR="00336532" w:rsidRPr="00D94DD9" w:rsidRDefault="00336532" w:rsidP="00336532">
            <w:pPr>
              <w:jc w:val="both"/>
              <w:rPr>
                <w:sz w:val="22"/>
                <w:szCs w:val="22"/>
              </w:rPr>
            </w:pPr>
            <w:r w:rsidRPr="00D94DD9">
              <w:rPr>
                <w:sz w:val="22"/>
                <w:szCs w:val="22"/>
              </w:rPr>
              <w:t>10</w:t>
            </w:r>
          </w:p>
        </w:tc>
        <w:tc>
          <w:tcPr>
            <w:tcW w:w="995" w:type="dxa"/>
          </w:tcPr>
          <w:p w14:paraId="2414841E" w14:textId="77777777" w:rsidR="00336532" w:rsidRPr="00D94DD9" w:rsidRDefault="00336532" w:rsidP="00336532">
            <w:pPr>
              <w:jc w:val="both"/>
              <w:rPr>
                <w:sz w:val="22"/>
                <w:szCs w:val="22"/>
              </w:rPr>
            </w:pPr>
            <w:r w:rsidRPr="00D94DD9">
              <w:rPr>
                <w:sz w:val="22"/>
                <w:szCs w:val="22"/>
              </w:rPr>
              <w:t>0.145</w:t>
            </w:r>
          </w:p>
        </w:tc>
        <w:tc>
          <w:tcPr>
            <w:tcW w:w="949" w:type="dxa"/>
          </w:tcPr>
          <w:p w14:paraId="421D3642" w14:textId="77777777" w:rsidR="00336532" w:rsidRPr="00D94DD9" w:rsidRDefault="00336532" w:rsidP="00336532">
            <w:pPr>
              <w:jc w:val="both"/>
              <w:rPr>
                <w:sz w:val="22"/>
                <w:szCs w:val="22"/>
              </w:rPr>
            </w:pPr>
            <w:r>
              <w:rPr>
                <w:sz w:val="22"/>
                <w:szCs w:val="22"/>
              </w:rPr>
              <w:t>0.151</w:t>
            </w:r>
          </w:p>
        </w:tc>
        <w:tc>
          <w:tcPr>
            <w:tcW w:w="1488" w:type="dxa"/>
          </w:tcPr>
          <w:p w14:paraId="75B76720" w14:textId="77777777" w:rsidR="00336532" w:rsidRPr="00D94DD9" w:rsidRDefault="00336532" w:rsidP="00336532">
            <w:pPr>
              <w:jc w:val="both"/>
              <w:rPr>
                <w:sz w:val="22"/>
                <w:szCs w:val="22"/>
              </w:rPr>
            </w:pPr>
            <w:r>
              <w:rPr>
                <w:sz w:val="22"/>
                <w:szCs w:val="22"/>
              </w:rPr>
              <w:t>3.73</w:t>
            </w:r>
            <w:r w:rsidRPr="00D94DD9">
              <w:rPr>
                <w:sz w:val="22"/>
                <w:szCs w:val="22"/>
              </w:rPr>
              <w:t>%</w:t>
            </w:r>
          </w:p>
        </w:tc>
      </w:tr>
      <w:tr w:rsidR="00336532" w:rsidRPr="00D94DD9" w14:paraId="04C7FE5A" w14:textId="77777777" w:rsidTr="00336532">
        <w:trPr>
          <w:trHeight w:val="294"/>
        </w:trPr>
        <w:tc>
          <w:tcPr>
            <w:tcW w:w="893" w:type="dxa"/>
          </w:tcPr>
          <w:p w14:paraId="430C6689" w14:textId="77777777" w:rsidR="00336532" w:rsidRPr="00D94DD9" w:rsidRDefault="00336532" w:rsidP="00336532">
            <w:pPr>
              <w:jc w:val="both"/>
              <w:rPr>
                <w:sz w:val="22"/>
                <w:szCs w:val="22"/>
              </w:rPr>
            </w:pPr>
            <w:r w:rsidRPr="00D94DD9">
              <w:rPr>
                <w:sz w:val="22"/>
                <w:szCs w:val="22"/>
              </w:rPr>
              <w:t>15</w:t>
            </w:r>
          </w:p>
        </w:tc>
        <w:tc>
          <w:tcPr>
            <w:tcW w:w="995" w:type="dxa"/>
          </w:tcPr>
          <w:p w14:paraId="4DC67D2C" w14:textId="77777777" w:rsidR="00336532" w:rsidRPr="00D94DD9" w:rsidRDefault="00336532" w:rsidP="00336532">
            <w:pPr>
              <w:jc w:val="both"/>
              <w:rPr>
                <w:sz w:val="22"/>
                <w:szCs w:val="22"/>
              </w:rPr>
            </w:pPr>
            <w:r w:rsidRPr="00D94DD9">
              <w:rPr>
                <w:sz w:val="22"/>
                <w:szCs w:val="22"/>
              </w:rPr>
              <w:t>0.161</w:t>
            </w:r>
          </w:p>
        </w:tc>
        <w:tc>
          <w:tcPr>
            <w:tcW w:w="949" w:type="dxa"/>
          </w:tcPr>
          <w:p w14:paraId="52BCCDEF" w14:textId="77777777" w:rsidR="00336532" w:rsidRPr="00D94DD9" w:rsidRDefault="00336532" w:rsidP="00336532">
            <w:pPr>
              <w:jc w:val="both"/>
              <w:rPr>
                <w:sz w:val="22"/>
                <w:szCs w:val="22"/>
              </w:rPr>
            </w:pPr>
            <w:r>
              <w:rPr>
                <w:sz w:val="22"/>
                <w:szCs w:val="22"/>
              </w:rPr>
              <w:t>0.163</w:t>
            </w:r>
          </w:p>
        </w:tc>
        <w:tc>
          <w:tcPr>
            <w:tcW w:w="1488" w:type="dxa"/>
          </w:tcPr>
          <w:p w14:paraId="30353892" w14:textId="77777777" w:rsidR="00336532" w:rsidRPr="00D94DD9" w:rsidRDefault="00336532" w:rsidP="00336532">
            <w:pPr>
              <w:jc w:val="both"/>
              <w:rPr>
                <w:sz w:val="22"/>
                <w:szCs w:val="22"/>
              </w:rPr>
            </w:pPr>
            <w:r>
              <w:rPr>
                <w:sz w:val="22"/>
                <w:szCs w:val="22"/>
              </w:rPr>
              <w:t>0.33</w:t>
            </w:r>
            <w:r w:rsidRPr="00D94DD9">
              <w:rPr>
                <w:sz w:val="22"/>
                <w:szCs w:val="22"/>
              </w:rPr>
              <w:t>%</w:t>
            </w:r>
          </w:p>
        </w:tc>
      </w:tr>
    </w:tbl>
    <w:p w14:paraId="71C47CB2" w14:textId="77777777" w:rsidR="00472C90" w:rsidRDefault="00472C90" w:rsidP="00472C90">
      <w:pPr>
        <w:jc w:val="both"/>
        <w:rPr>
          <w:sz w:val="22"/>
          <w:szCs w:val="22"/>
        </w:rPr>
      </w:pPr>
      <w:r w:rsidRPr="00D94DD9">
        <w:rPr>
          <w:sz w:val="22"/>
          <w:szCs w:val="22"/>
        </w:rPr>
        <w:t xml:space="preserve">The second dataset we use in our evaluation is a set of 1094 ACM </w:t>
      </w:r>
      <w:r>
        <w:rPr>
          <w:sz w:val="22"/>
          <w:szCs w:val="22"/>
        </w:rPr>
        <w:t xml:space="preserve">article </w:t>
      </w:r>
      <w:r w:rsidRPr="00D94DD9">
        <w:rPr>
          <w:sz w:val="22"/>
          <w:szCs w:val="22"/>
        </w:rPr>
        <w:t xml:space="preserve">abstracts. Each abstract has a number of keywords assigned which we use as the gold standard. </w:t>
      </w:r>
      <w:r>
        <w:rPr>
          <w:sz w:val="22"/>
          <w:szCs w:val="22"/>
        </w:rPr>
        <w:t xml:space="preserve">This dataset has been used in </w:t>
      </w:r>
      <w:r w:rsidRPr="00D94DD9">
        <w:rPr>
          <w:sz w:val="22"/>
          <w:szCs w:val="22"/>
        </w:rPr>
        <w:t>[23]</w:t>
      </w:r>
      <w:r>
        <w:rPr>
          <w:sz w:val="22"/>
          <w:szCs w:val="22"/>
        </w:rPr>
        <w:t>, which c</w:t>
      </w:r>
      <w:r w:rsidRPr="00D94DD9">
        <w:rPr>
          <w:sz w:val="22"/>
          <w:szCs w:val="22"/>
        </w:rPr>
        <w:t xml:space="preserve">ontains a more detailed description of </w:t>
      </w:r>
      <w:r>
        <w:rPr>
          <w:sz w:val="22"/>
          <w:szCs w:val="22"/>
        </w:rPr>
        <w:t>it, for similar experiments</w:t>
      </w:r>
      <w:r w:rsidRPr="00D94DD9">
        <w:rPr>
          <w:sz w:val="22"/>
          <w:szCs w:val="22"/>
        </w:rPr>
        <w:t xml:space="preserve">. Figure 2 shows the precision recall curves on </w:t>
      </w:r>
      <w:r>
        <w:rPr>
          <w:sz w:val="22"/>
          <w:szCs w:val="22"/>
        </w:rPr>
        <w:t>the</w:t>
      </w:r>
      <w:r w:rsidRPr="00D94DD9">
        <w:rPr>
          <w:sz w:val="22"/>
          <w:szCs w:val="22"/>
        </w:rPr>
        <w:t xml:space="preserve"> ACM dataset.</w:t>
      </w:r>
      <w:r>
        <w:rPr>
          <w:sz w:val="22"/>
          <w:szCs w:val="22"/>
        </w:rPr>
        <w:t xml:space="preserve"> </w:t>
      </w:r>
      <w:r w:rsidRPr="00D94DD9">
        <w:rPr>
          <w:sz w:val="22"/>
          <w:szCs w:val="22"/>
        </w:rPr>
        <w:t>Table 2 provides F1 scores and improvement percentages for the ACM dataset.</w:t>
      </w:r>
    </w:p>
    <w:tbl>
      <w:tblPr>
        <w:tblStyle w:val="TableGrid"/>
        <w:tblpPr w:leftFromText="180" w:rightFromText="180" w:vertAnchor="text" w:horzAnchor="page" w:tblpX="6027" w:tblpY="934"/>
        <w:tblW w:w="0" w:type="auto"/>
        <w:tblLook w:val="04A0" w:firstRow="1" w:lastRow="0" w:firstColumn="1" w:lastColumn="0" w:noHBand="0" w:noVBand="1"/>
      </w:tblPr>
      <w:tblGrid>
        <w:gridCol w:w="1053"/>
        <w:gridCol w:w="1142"/>
        <w:gridCol w:w="1103"/>
        <w:gridCol w:w="1294"/>
      </w:tblGrid>
      <w:tr w:rsidR="000811E0" w14:paraId="6D2C08EC" w14:textId="77777777" w:rsidTr="000811E0">
        <w:tc>
          <w:tcPr>
            <w:tcW w:w="1053" w:type="dxa"/>
          </w:tcPr>
          <w:p w14:paraId="23C8A239" w14:textId="77777777" w:rsidR="000811E0" w:rsidRDefault="000811E0" w:rsidP="000811E0">
            <w:pPr>
              <w:jc w:val="both"/>
            </w:pPr>
            <w:r>
              <w:t>K=</w:t>
            </w:r>
          </w:p>
        </w:tc>
        <w:tc>
          <w:tcPr>
            <w:tcW w:w="1142" w:type="dxa"/>
          </w:tcPr>
          <w:p w14:paraId="63042897" w14:textId="77777777" w:rsidR="000811E0" w:rsidRDefault="000811E0" w:rsidP="000811E0">
            <w:pPr>
              <w:jc w:val="both"/>
            </w:pPr>
            <w:r>
              <w:t>TF.IDF</w:t>
            </w:r>
          </w:p>
        </w:tc>
        <w:tc>
          <w:tcPr>
            <w:tcW w:w="1103" w:type="dxa"/>
          </w:tcPr>
          <w:p w14:paraId="3196186D" w14:textId="77777777" w:rsidR="000811E0" w:rsidRDefault="000811E0" w:rsidP="000811E0">
            <w:pPr>
              <w:jc w:val="both"/>
            </w:pPr>
            <w:r>
              <w:t>W</w:t>
            </w:r>
          </w:p>
        </w:tc>
        <w:tc>
          <w:tcPr>
            <w:tcW w:w="1294" w:type="dxa"/>
          </w:tcPr>
          <w:p w14:paraId="6633D2D4" w14:textId="77777777" w:rsidR="000811E0" w:rsidRDefault="000811E0" w:rsidP="000811E0">
            <w:pPr>
              <w:jc w:val="both"/>
            </w:pPr>
            <w:r>
              <w:t>Improvement</w:t>
            </w:r>
          </w:p>
        </w:tc>
      </w:tr>
      <w:tr w:rsidR="000811E0" w14:paraId="1F6DD831" w14:textId="77777777" w:rsidTr="000811E0">
        <w:tc>
          <w:tcPr>
            <w:tcW w:w="1053" w:type="dxa"/>
          </w:tcPr>
          <w:p w14:paraId="4D5F33E1" w14:textId="77777777" w:rsidR="000811E0" w:rsidRDefault="000811E0" w:rsidP="000811E0">
            <w:pPr>
              <w:jc w:val="both"/>
            </w:pPr>
            <w:r>
              <w:t>5</w:t>
            </w:r>
          </w:p>
        </w:tc>
        <w:tc>
          <w:tcPr>
            <w:tcW w:w="1142" w:type="dxa"/>
          </w:tcPr>
          <w:p w14:paraId="5856192D" w14:textId="77777777" w:rsidR="000811E0" w:rsidRDefault="000811E0" w:rsidP="000811E0">
            <w:pPr>
              <w:jc w:val="both"/>
            </w:pPr>
            <w:r>
              <w:t>0.106</w:t>
            </w:r>
          </w:p>
        </w:tc>
        <w:tc>
          <w:tcPr>
            <w:tcW w:w="1103" w:type="dxa"/>
          </w:tcPr>
          <w:p w14:paraId="7A10B666" w14:textId="77777777" w:rsidR="000811E0" w:rsidRDefault="000811E0" w:rsidP="000811E0">
            <w:pPr>
              <w:jc w:val="both"/>
            </w:pPr>
            <w:r>
              <w:t>0.116</w:t>
            </w:r>
          </w:p>
        </w:tc>
        <w:tc>
          <w:tcPr>
            <w:tcW w:w="1294" w:type="dxa"/>
          </w:tcPr>
          <w:p w14:paraId="6E326C33" w14:textId="77777777" w:rsidR="000811E0" w:rsidRDefault="000811E0" w:rsidP="000811E0">
            <w:pPr>
              <w:jc w:val="both"/>
            </w:pPr>
            <w:r>
              <w:t>9.37 %</w:t>
            </w:r>
          </w:p>
        </w:tc>
      </w:tr>
      <w:tr w:rsidR="000811E0" w14:paraId="2A4F622A" w14:textId="77777777" w:rsidTr="000811E0">
        <w:tc>
          <w:tcPr>
            <w:tcW w:w="1053" w:type="dxa"/>
          </w:tcPr>
          <w:p w14:paraId="540B866C" w14:textId="77777777" w:rsidR="000811E0" w:rsidRDefault="000811E0" w:rsidP="000811E0">
            <w:pPr>
              <w:jc w:val="both"/>
            </w:pPr>
            <w:r>
              <w:t>10</w:t>
            </w:r>
          </w:p>
        </w:tc>
        <w:tc>
          <w:tcPr>
            <w:tcW w:w="1142" w:type="dxa"/>
          </w:tcPr>
          <w:p w14:paraId="5930C708" w14:textId="77777777" w:rsidR="000811E0" w:rsidRDefault="000811E0" w:rsidP="000811E0">
            <w:pPr>
              <w:jc w:val="both"/>
            </w:pPr>
            <w:r>
              <w:t>0.092</w:t>
            </w:r>
          </w:p>
        </w:tc>
        <w:tc>
          <w:tcPr>
            <w:tcW w:w="1103" w:type="dxa"/>
          </w:tcPr>
          <w:p w14:paraId="3F506A07" w14:textId="77777777" w:rsidR="000811E0" w:rsidRDefault="000811E0" w:rsidP="000811E0">
            <w:pPr>
              <w:jc w:val="both"/>
            </w:pPr>
            <w:r>
              <w:t>0.103</w:t>
            </w:r>
          </w:p>
        </w:tc>
        <w:tc>
          <w:tcPr>
            <w:tcW w:w="1294" w:type="dxa"/>
          </w:tcPr>
          <w:p w14:paraId="0B006C82" w14:textId="77777777" w:rsidR="000811E0" w:rsidRDefault="000811E0" w:rsidP="000811E0">
            <w:pPr>
              <w:jc w:val="both"/>
            </w:pPr>
            <w:r>
              <w:t>11.9%</w:t>
            </w:r>
          </w:p>
        </w:tc>
      </w:tr>
      <w:tr w:rsidR="000811E0" w14:paraId="580C224F" w14:textId="77777777" w:rsidTr="000811E0">
        <w:tc>
          <w:tcPr>
            <w:tcW w:w="1053" w:type="dxa"/>
          </w:tcPr>
          <w:p w14:paraId="42759BCE" w14:textId="77777777" w:rsidR="000811E0" w:rsidRDefault="000811E0" w:rsidP="000811E0">
            <w:pPr>
              <w:jc w:val="both"/>
            </w:pPr>
            <w:r>
              <w:t>15</w:t>
            </w:r>
          </w:p>
        </w:tc>
        <w:tc>
          <w:tcPr>
            <w:tcW w:w="1142" w:type="dxa"/>
          </w:tcPr>
          <w:p w14:paraId="34E710AB" w14:textId="77777777" w:rsidR="000811E0" w:rsidRDefault="000811E0" w:rsidP="000811E0">
            <w:pPr>
              <w:jc w:val="both"/>
            </w:pPr>
            <w:r>
              <w:t>0.077</w:t>
            </w:r>
          </w:p>
        </w:tc>
        <w:tc>
          <w:tcPr>
            <w:tcW w:w="1103" w:type="dxa"/>
          </w:tcPr>
          <w:p w14:paraId="1F773A01" w14:textId="77777777" w:rsidR="000811E0" w:rsidRDefault="000811E0" w:rsidP="000811E0">
            <w:pPr>
              <w:jc w:val="both"/>
            </w:pPr>
            <w:r>
              <w:t>0.089</w:t>
            </w:r>
          </w:p>
        </w:tc>
        <w:tc>
          <w:tcPr>
            <w:tcW w:w="1294" w:type="dxa"/>
          </w:tcPr>
          <w:p w14:paraId="3BF8EF96" w14:textId="77777777" w:rsidR="000811E0" w:rsidRDefault="000811E0" w:rsidP="000811E0">
            <w:pPr>
              <w:jc w:val="both"/>
            </w:pPr>
            <w:r>
              <w:t>15.1%</w:t>
            </w:r>
          </w:p>
        </w:tc>
      </w:tr>
    </w:tbl>
    <w:p w14:paraId="6932958F" w14:textId="77777777" w:rsidR="00F201DE" w:rsidRDefault="00F201DE" w:rsidP="00472C90">
      <w:pPr>
        <w:jc w:val="both"/>
        <w:rPr>
          <w:sz w:val="22"/>
          <w:szCs w:val="22"/>
        </w:rPr>
      </w:pPr>
    </w:p>
    <w:p w14:paraId="13990DD9" w14:textId="77777777" w:rsidR="00472C90" w:rsidRPr="00D94DD9" w:rsidRDefault="00472C90" w:rsidP="00472C90">
      <w:pPr>
        <w:jc w:val="both"/>
        <w:rPr>
          <w:sz w:val="22"/>
          <w:szCs w:val="22"/>
        </w:rPr>
      </w:pPr>
      <w:r>
        <w:rPr>
          <w:noProof/>
          <w:lang w:val="en-US" w:eastAsia="en-US"/>
        </w:rPr>
        <w:drawing>
          <wp:inline distT="0" distB="0" distL="0" distR="0" wp14:anchorId="422F9794" wp14:editId="36D6DEEF">
            <wp:extent cx="2771775" cy="1471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Stfidf-ac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775" cy="1471295"/>
                    </a:xfrm>
                    <a:prstGeom prst="rect">
                      <a:avLst/>
                    </a:prstGeom>
                  </pic:spPr>
                </pic:pic>
              </a:graphicData>
            </a:graphic>
          </wp:inline>
        </w:drawing>
      </w:r>
    </w:p>
    <w:p w14:paraId="05C008B9" w14:textId="70B91D38" w:rsidR="006B7BD9" w:rsidRDefault="00230EA3" w:rsidP="006B7BD9">
      <w:pPr>
        <w:pStyle w:val="Caption"/>
        <w:keepNext/>
        <w:rPr>
          <w:b w:val="0"/>
          <w:sz w:val="22"/>
          <w:szCs w:val="22"/>
        </w:rPr>
      </w:pPr>
      <w:r>
        <w:rPr>
          <w:b w:val="0"/>
          <w:sz w:val="22"/>
          <w:szCs w:val="22"/>
        </w:rPr>
        <w:t>Figure 2</w:t>
      </w:r>
      <w:r w:rsidR="006B7BD9">
        <w:rPr>
          <w:b w:val="0"/>
          <w:sz w:val="22"/>
          <w:szCs w:val="22"/>
        </w:rPr>
        <w:t>. Precision Recall and F-measure i</w:t>
      </w:r>
      <w:r w:rsidR="006B7BD9">
        <w:rPr>
          <w:b w:val="0"/>
          <w:sz w:val="22"/>
          <w:szCs w:val="22"/>
        </w:rPr>
        <w:t>m</w:t>
      </w:r>
      <w:r w:rsidR="006B7BD9">
        <w:rPr>
          <w:b w:val="0"/>
          <w:sz w:val="22"/>
          <w:szCs w:val="22"/>
        </w:rPr>
        <w:t>provements for ACM corpus</w:t>
      </w:r>
    </w:p>
    <w:p w14:paraId="5251E3F9" w14:textId="77777777" w:rsidR="009B7567" w:rsidRDefault="009B7567" w:rsidP="009B7567"/>
    <w:p w14:paraId="2B368B19" w14:textId="65F5E093" w:rsidR="00F331F7" w:rsidRDefault="009B7567" w:rsidP="009B7567">
      <w:pPr>
        <w:rPr>
          <w:sz w:val="22"/>
          <w:szCs w:val="22"/>
        </w:rPr>
      </w:pPr>
      <w:r w:rsidRPr="00D94DD9">
        <w:rPr>
          <w:sz w:val="22"/>
          <w:szCs w:val="22"/>
        </w:rPr>
        <w:t>The third dataset used in our evaluation is the Inspeq corpus consisting of 2000 abstracts from journal articles in computer science, control and information sciences. This d</w:t>
      </w:r>
      <w:r>
        <w:rPr>
          <w:sz w:val="22"/>
          <w:szCs w:val="22"/>
        </w:rPr>
        <w:t>ataset has been used for keyphrase extraction experiments by Hulth</w:t>
      </w:r>
      <w:r w:rsidRPr="00D94DD9">
        <w:rPr>
          <w:sz w:val="22"/>
          <w:szCs w:val="22"/>
        </w:rPr>
        <w:t xml:space="preserve"> [6] and </w:t>
      </w:r>
      <w:r>
        <w:rPr>
          <w:sz w:val="22"/>
          <w:szCs w:val="22"/>
        </w:rPr>
        <w:t xml:space="preserve">Mihalcea </w:t>
      </w:r>
      <w:r w:rsidRPr="00D94DD9">
        <w:rPr>
          <w:sz w:val="22"/>
          <w:szCs w:val="22"/>
        </w:rPr>
        <w:t>[16]. Similar to [6] and [16] we use the uncontrolled human assigned keyphrases as the golden set and test on 500 abstracts in the test set.</w:t>
      </w:r>
      <w:r>
        <w:rPr>
          <w:sz w:val="22"/>
          <w:szCs w:val="22"/>
        </w:rPr>
        <w:t xml:space="preserve"> </w:t>
      </w:r>
      <w:r w:rsidRPr="00D94DD9">
        <w:rPr>
          <w:sz w:val="22"/>
          <w:szCs w:val="22"/>
        </w:rPr>
        <w:t>Figure 3 shows the precision recall</w:t>
      </w:r>
      <w:r>
        <w:rPr>
          <w:sz w:val="22"/>
          <w:szCs w:val="22"/>
        </w:rPr>
        <w:t xml:space="preserve"> curves for the Inspeq dataset.</w:t>
      </w:r>
      <w:r w:rsidRPr="00D94DD9">
        <w:rPr>
          <w:sz w:val="22"/>
          <w:szCs w:val="22"/>
        </w:rPr>
        <w:t xml:space="preserve"> Table 3 provides the F1 scores and improvements made by </w:t>
      </w:r>
      <m:oMath>
        <m:r>
          <w:rPr>
            <w:rFonts w:ascii="Cambria Math" w:hAnsi="Cambria Math"/>
            <w:sz w:val="22"/>
            <w:szCs w:val="22"/>
          </w:rPr>
          <m:t>W</m:t>
        </m:r>
      </m:oMath>
      <w:r w:rsidRPr="00D94DD9">
        <w:rPr>
          <w:sz w:val="22"/>
          <w:szCs w:val="22"/>
        </w:rPr>
        <w:t>.</w:t>
      </w:r>
    </w:p>
    <w:p w14:paraId="24B544FD" w14:textId="77777777" w:rsidR="00CF121C" w:rsidRDefault="00CF121C" w:rsidP="009B7567">
      <w:pPr>
        <w:rPr>
          <w:sz w:val="22"/>
          <w:szCs w:val="22"/>
        </w:rPr>
      </w:pPr>
    </w:p>
    <w:tbl>
      <w:tblPr>
        <w:tblStyle w:val="TableGrid"/>
        <w:tblpPr w:leftFromText="180" w:rightFromText="180" w:vertAnchor="text" w:horzAnchor="page" w:tblpX="6027" w:tblpY="926"/>
        <w:tblW w:w="0" w:type="auto"/>
        <w:tblLook w:val="04A0" w:firstRow="1" w:lastRow="0" w:firstColumn="1" w:lastColumn="0" w:noHBand="0" w:noVBand="1"/>
      </w:tblPr>
      <w:tblGrid>
        <w:gridCol w:w="995"/>
        <w:gridCol w:w="1127"/>
        <w:gridCol w:w="1069"/>
        <w:gridCol w:w="1390"/>
      </w:tblGrid>
      <w:tr w:rsidR="00230EA3" w:rsidRPr="00D94DD9" w14:paraId="27FE7CC7" w14:textId="77777777" w:rsidTr="00230EA3">
        <w:tc>
          <w:tcPr>
            <w:tcW w:w="995" w:type="dxa"/>
          </w:tcPr>
          <w:p w14:paraId="50142317" w14:textId="77777777" w:rsidR="00230EA3" w:rsidRPr="00D94DD9" w:rsidRDefault="00230EA3" w:rsidP="00230EA3">
            <w:pPr>
              <w:jc w:val="both"/>
              <w:rPr>
                <w:sz w:val="22"/>
                <w:szCs w:val="22"/>
              </w:rPr>
            </w:pPr>
            <w:r w:rsidRPr="00D94DD9">
              <w:rPr>
                <w:sz w:val="22"/>
                <w:szCs w:val="22"/>
              </w:rPr>
              <w:t>K=</w:t>
            </w:r>
          </w:p>
        </w:tc>
        <w:tc>
          <w:tcPr>
            <w:tcW w:w="1127" w:type="dxa"/>
          </w:tcPr>
          <w:p w14:paraId="2F92FDBA" w14:textId="77777777" w:rsidR="00230EA3" w:rsidRPr="00D94DD9" w:rsidRDefault="00230EA3" w:rsidP="00230EA3">
            <w:pPr>
              <w:jc w:val="both"/>
              <w:rPr>
                <w:sz w:val="22"/>
                <w:szCs w:val="22"/>
              </w:rPr>
            </w:pPr>
            <w:r w:rsidRPr="00D94DD9">
              <w:rPr>
                <w:sz w:val="22"/>
                <w:szCs w:val="22"/>
              </w:rPr>
              <w:t>TF.IDF</w:t>
            </w:r>
          </w:p>
        </w:tc>
        <w:tc>
          <w:tcPr>
            <w:tcW w:w="1069" w:type="dxa"/>
          </w:tcPr>
          <w:p w14:paraId="351C9047" w14:textId="77777777" w:rsidR="00230EA3" w:rsidRPr="00D94DD9" w:rsidRDefault="00230EA3" w:rsidP="00230EA3">
            <w:pPr>
              <w:jc w:val="both"/>
              <w:rPr>
                <w:sz w:val="22"/>
                <w:szCs w:val="22"/>
              </w:rPr>
            </w:pPr>
            <w:r>
              <w:rPr>
                <w:sz w:val="22"/>
                <w:szCs w:val="22"/>
              </w:rPr>
              <w:t>W</w:t>
            </w:r>
          </w:p>
        </w:tc>
        <w:tc>
          <w:tcPr>
            <w:tcW w:w="1390" w:type="dxa"/>
          </w:tcPr>
          <w:p w14:paraId="23D7C71E" w14:textId="77777777" w:rsidR="00230EA3" w:rsidRPr="00D94DD9" w:rsidRDefault="00230EA3" w:rsidP="00230EA3">
            <w:pPr>
              <w:jc w:val="both"/>
              <w:rPr>
                <w:sz w:val="22"/>
                <w:szCs w:val="22"/>
              </w:rPr>
            </w:pPr>
            <w:r w:rsidRPr="00D94DD9">
              <w:rPr>
                <w:sz w:val="22"/>
                <w:szCs w:val="22"/>
              </w:rPr>
              <w:t>improvement</w:t>
            </w:r>
          </w:p>
        </w:tc>
      </w:tr>
      <w:tr w:rsidR="00230EA3" w:rsidRPr="00D94DD9" w14:paraId="1C166FA1" w14:textId="77777777" w:rsidTr="00230EA3">
        <w:tc>
          <w:tcPr>
            <w:tcW w:w="995" w:type="dxa"/>
          </w:tcPr>
          <w:p w14:paraId="69059E94" w14:textId="77777777" w:rsidR="00230EA3" w:rsidRPr="00D94DD9" w:rsidRDefault="00230EA3" w:rsidP="00230EA3">
            <w:pPr>
              <w:jc w:val="both"/>
              <w:rPr>
                <w:sz w:val="22"/>
                <w:szCs w:val="22"/>
              </w:rPr>
            </w:pPr>
            <w:r w:rsidRPr="00D94DD9">
              <w:rPr>
                <w:sz w:val="22"/>
                <w:szCs w:val="22"/>
              </w:rPr>
              <w:t>5</w:t>
            </w:r>
          </w:p>
        </w:tc>
        <w:tc>
          <w:tcPr>
            <w:tcW w:w="1127" w:type="dxa"/>
          </w:tcPr>
          <w:p w14:paraId="17A18E20" w14:textId="77777777" w:rsidR="00230EA3" w:rsidRPr="00D94DD9" w:rsidRDefault="00230EA3" w:rsidP="00230EA3">
            <w:pPr>
              <w:jc w:val="both"/>
              <w:rPr>
                <w:sz w:val="22"/>
                <w:szCs w:val="22"/>
              </w:rPr>
            </w:pPr>
            <w:r w:rsidRPr="00D94DD9">
              <w:rPr>
                <w:sz w:val="22"/>
                <w:szCs w:val="22"/>
              </w:rPr>
              <w:t>0.114</w:t>
            </w:r>
          </w:p>
        </w:tc>
        <w:tc>
          <w:tcPr>
            <w:tcW w:w="1069" w:type="dxa"/>
          </w:tcPr>
          <w:p w14:paraId="2BD62CDB" w14:textId="77777777" w:rsidR="00230EA3" w:rsidRPr="00D94DD9" w:rsidRDefault="00230EA3" w:rsidP="00230EA3">
            <w:pPr>
              <w:jc w:val="both"/>
              <w:rPr>
                <w:sz w:val="22"/>
                <w:szCs w:val="22"/>
              </w:rPr>
            </w:pPr>
            <w:r>
              <w:rPr>
                <w:sz w:val="22"/>
                <w:szCs w:val="22"/>
              </w:rPr>
              <w:t>0.123</w:t>
            </w:r>
          </w:p>
        </w:tc>
        <w:tc>
          <w:tcPr>
            <w:tcW w:w="1390" w:type="dxa"/>
          </w:tcPr>
          <w:p w14:paraId="52838F1F" w14:textId="77777777" w:rsidR="00230EA3" w:rsidRPr="00D94DD9" w:rsidRDefault="00230EA3" w:rsidP="00230EA3">
            <w:pPr>
              <w:jc w:val="both"/>
              <w:rPr>
                <w:sz w:val="22"/>
                <w:szCs w:val="22"/>
              </w:rPr>
            </w:pPr>
            <w:r>
              <w:rPr>
                <w:sz w:val="22"/>
                <w:szCs w:val="22"/>
              </w:rPr>
              <w:t>7.89</w:t>
            </w:r>
            <w:r w:rsidRPr="00D94DD9">
              <w:rPr>
                <w:sz w:val="22"/>
                <w:szCs w:val="22"/>
              </w:rPr>
              <w:t>%</w:t>
            </w:r>
          </w:p>
        </w:tc>
      </w:tr>
      <w:tr w:rsidR="00230EA3" w:rsidRPr="00D94DD9" w14:paraId="2C6C0F2A" w14:textId="77777777" w:rsidTr="00230EA3">
        <w:tc>
          <w:tcPr>
            <w:tcW w:w="995" w:type="dxa"/>
          </w:tcPr>
          <w:p w14:paraId="23C54563" w14:textId="77777777" w:rsidR="00230EA3" w:rsidRPr="00D94DD9" w:rsidRDefault="00230EA3" w:rsidP="00230EA3">
            <w:pPr>
              <w:jc w:val="both"/>
              <w:rPr>
                <w:sz w:val="22"/>
                <w:szCs w:val="22"/>
              </w:rPr>
            </w:pPr>
            <w:r w:rsidRPr="00D94DD9">
              <w:rPr>
                <w:sz w:val="22"/>
                <w:szCs w:val="22"/>
              </w:rPr>
              <w:t>10</w:t>
            </w:r>
          </w:p>
        </w:tc>
        <w:tc>
          <w:tcPr>
            <w:tcW w:w="1127" w:type="dxa"/>
          </w:tcPr>
          <w:p w14:paraId="6203AEE5" w14:textId="77777777" w:rsidR="00230EA3" w:rsidRPr="00D94DD9" w:rsidRDefault="00230EA3" w:rsidP="00230EA3">
            <w:pPr>
              <w:jc w:val="both"/>
              <w:rPr>
                <w:sz w:val="22"/>
                <w:szCs w:val="22"/>
              </w:rPr>
            </w:pPr>
            <w:r w:rsidRPr="00D94DD9">
              <w:rPr>
                <w:sz w:val="22"/>
                <w:szCs w:val="22"/>
              </w:rPr>
              <w:t>0.126</w:t>
            </w:r>
          </w:p>
        </w:tc>
        <w:tc>
          <w:tcPr>
            <w:tcW w:w="1069" w:type="dxa"/>
          </w:tcPr>
          <w:p w14:paraId="42596F6B" w14:textId="77777777" w:rsidR="00230EA3" w:rsidRPr="00D94DD9" w:rsidRDefault="00230EA3" w:rsidP="00230EA3">
            <w:pPr>
              <w:jc w:val="both"/>
              <w:rPr>
                <w:sz w:val="22"/>
                <w:szCs w:val="22"/>
              </w:rPr>
            </w:pPr>
            <w:r w:rsidRPr="00D94DD9">
              <w:rPr>
                <w:sz w:val="22"/>
                <w:szCs w:val="22"/>
              </w:rPr>
              <w:t>0.138</w:t>
            </w:r>
          </w:p>
        </w:tc>
        <w:tc>
          <w:tcPr>
            <w:tcW w:w="1390" w:type="dxa"/>
          </w:tcPr>
          <w:p w14:paraId="7C1428BF" w14:textId="77777777" w:rsidR="00230EA3" w:rsidRPr="00D94DD9" w:rsidRDefault="00230EA3" w:rsidP="00230EA3">
            <w:pPr>
              <w:jc w:val="both"/>
              <w:rPr>
                <w:sz w:val="22"/>
                <w:szCs w:val="22"/>
              </w:rPr>
            </w:pPr>
            <w:r w:rsidRPr="00D94DD9">
              <w:rPr>
                <w:sz w:val="22"/>
                <w:szCs w:val="22"/>
              </w:rPr>
              <w:t>9.52%</w:t>
            </w:r>
          </w:p>
        </w:tc>
      </w:tr>
      <w:tr w:rsidR="00230EA3" w:rsidRPr="00D94DD9" w14:paraId="7E9923AA" w14:textId="77777777" w:rsidTr="00230EA3">
        <w:tc>
          <w:tcPr>
            <w:tcW w:w="995" w:type="dxa"/>
          </w:tcPr>
          <w:p w14:paraId="488E87C3" w14:textId="77777777" w:rsidR="00230EA3" w:rsidRPr="00D94DD9" w:rsidRDefault="00230EA3" w:rsidP="00230EA3">
            <w:pPr>
              <w:jc w:val="both"/>
              <w:rPr>
                <w:sz w:val="22"/>
                <w:szCs w:val="22"/>
              </w:rPr>
            </w:pPr>
            <w:r w:rsidRPr="00D94DD9">
              <w:rPr>
                <w:sz w:val="22"/>
                <w:szCs w:val="22"/>
              </w:rPr>
              <w:t>15</w:t>
            </w:r>
          </w:p>
        </w:tc>
        <w:tc>
          <w:tcPr>
            <w:tcW w:w="1127" w:type="dxa"/>
          </w:tcPr>
          <w:p w14:paraId="1EFB24F3" w14:textId="77777777" w:rsidR="00230EA3" w:rsidRPr="00D94DD9" w:rsidRDefault="00230EA3" w:rsidP="00230EA3">
            <w:pPr>
              <w:jc w:val="both"/>
              <w:rPr>
                <w:sz w:val="22"/>
                <w:szCs w:val="22"/>
              </w:rPr>
            </w:pPr>
            <w:r w:rsidRPr="00D94DD9">
              <w:rPr>
                <w:sz w:val="22"/>
                <w:szCs w:val="22"/>
              </w:rPr>
              <w:t>0.123</w:t>
            </w:r>
          </w:p>
        </w:tc>
        <w:tc>
          <w:tcPr>
            <w:tcW w:w="1069" w:type="dxa"/>
          </w:tcPr>
          <w:p w14:paraId="23C54157" w14:textId="77777777" w:rsidR="00230EA3" w:rsidRPr="00D94DD9" w:rsidRDefault="00230EA3" w:rsidP="00230EA3">
            <w:pPr>
              <w:jc w:val="both"/>
              <w:rPr>
                <w:sz w:val="22"/>
                <w:szCs w:val="22"/>
              </w:rPr>
            </w:pPr>
            <w:r>
              <w:rPr>
                <w:sz w:val="22"/>
                <w:szCs w:val="22"/>
              </w:rPr>
              <w:t>0.135</w:t>
            </w:r>
          </w:p>
        </w:tc>
        <w:tc>
          <w:tcPr>
            <w:tcW w:w="1390" w:type="dxa"/>
          </w:tcPr>
          <w:p w14:paraId="61686FE2" w14:textId="77777777" w:rsidR="00230EA3" w:rsidRPr="00D94DD9" w:rsidRDefault="00230EA3" w:rsidP="00230EA3">
            <w:pPr>
              <w:jc w:val="both"/>
              <w:rPr>
                <w:sz w:val="22"/>
                <w:szCs w:val="22"/>
              </w:rPr>
            </w:pPr>
            <w:r>
              <w:rPr>
                <w:sz w:val="22"/>
                <w:szCs w:val="22"/>
              </w:rPr>
              <w:t>9.65</w:t>
            </w:r>
            <w:r w:rsidRPr="00D94DD9">
              <w:rPr>
                <w:sz w:val="22"/>
                <w:szCs w:val="22"/>
              </w:rPr>
              <w:t>%</w:t>
            </w:r>
          </w:p>
        </w:tc>
      </w:tr>
    </w:tbl>
    <w:p w14:paraId="66A4F360" w14:textId="61199745" w:rsidR="00F331F7" w:rsidRDefault="00F331F7" w:rsidP="009B7567">
      <w:r>
        <w:rPr>
          <w:noProof/>
          <w:sz w:val="22"/>
          <w:szCs w:val="22"/>
          <w:lang w:val="en-US" w:eastAsia="en-US"/>
        </w:rPr>
        <w:drawing>
          <wp:inline distT="0" distB="0" distL="0" distR="0" wp14:anchorId="2DCD1366" wp14:editId="2F6E0806">
            <wp:extent cx="2771775" cy="1745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Stfidf-hul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1775" cy="1745615"/>
                    </a:xfrm>
                    <a:prstGeom prst="rect">
                      <a:avLst/>
                    </a:prstGeom>
                  </pic:spPr>
                </pic:pic>
              </a:graphicData>
            </a:graphic>
          </wp:inline>
        </w:drawing>
      </w:r>
    </w:p>
    <w:p w14:paraId="1022E5BC" w14:textId="67389F22" w:rsidR="00036CE3" w:rsidRDefault="00036CE3" w:rsidP="00036CE3">
      <w:pPr>
        <w:pStyle w:val="Caption"/>
        <w:keepNext/>
        <w:rPr>
          <w:b w:val="0"/>
          <w:sz w:val="22"/>
          <w:szCs w:val="22"/>
        </w:rPr>
      </w:pPr>
      <w:r>
        <w:rPr>
          <w:b w:val="0"/>
          <w:sz w:val="22"/>
          <w:szCs w:val="22"/>
        </w:rPr>
        <w:t>Figure 3. Precision Recall and F-measure i</w:t>
      </w:r>
      <w:r>
        <w:rPr>
          <w:b w:val="0"/>
          <w:sz w:val="22"/>
          <w:szCs w:val="22"/>
        </w:rPr>
        <w:t>m</w:t>
      </w:r>
      <w:r>
        <w:rPr>
          <w:b w:val="0"/>
          <w:sz w:val="22"/>
          <w:szCs w:val="22"/>
        </w:rPr>
        <w:t>provements for Inspeq corpus</w:t>
      </w:r>
    </w:p>
    <w:p w14:paraId="65A9E8FD" w14:textId="77777777" w:rsidR="00DD734F" w:rsidRDefault="00DD734F" w:rsidP="00DD734F"/>
    <w:p w14:paraId="2E4FD4D3" w14:textId="08AB2918" w:rsidR="00DD734F" w:rsidRDefault="00DD734F" w:rsidP="00DD734F">
      <w:pPr>
        <w:jc w:val="both"/>
        <w:rPr>
          <w:sz w:val="22"/>
          <w:szCs w:val="22"/>
        </w:rPr>
      </w:pPr>
      <w:r>
        <w:rPr>
          <w:sz w:val="22"/>
          <w:szCs w:val="22"/>
        </w:rPr>
        <w:t xml:space="preserve">Finally the fourth dataset that we have tested on is a corpus of 32604 short news snippets (Downloaded from </w:t>
      </w:r>
      <w:r w:rsidRPr="00756626">
        <w:rPr>
          <w:sz w:val="22"/>
          <w:szCs w:val="22"/>
        </w:rPr>
        <w:t xml:space="preserve">http://acube.di.unipi.it/tmn-dataset/ </w:t>
      </w:r>
      <w:r>
        <w:rPr>
          <w:sz w:val="22"/>
          <w:szCs w:val="22"/>
        </w:rPr>
        <w:t xml:space="preserve">) from mainstream news outlets such as New York Times, Fortune magazine, etc. [27] These snippets cover all areas of news such as sports, </w:t>
      </w:r>
      <w:r>
        <w:rPr>
          <w:sz w:val="22"/>
          <w:szCs w:val="22"/>
        </w:rPr>
        <w:lastRenderedPageBreak/>
        <w:t xml:space="preserve">politics, entertainments, etc. The average length of a snippet is 185 words. No keyphrases are assigned to the snippets in the original dataset. We had two regular readers of news manually annotate 113 snippets. The readers were instructed to choose phrases from a snippet that best signify what it is about. Disagreements on keyphrases were resolved by discussion. The average number of keyphrases per snippet is 2.5 with a maximum of 5 and a minimum of 1.The average length of a keyphrase is 1.5 words. Figure 4 shows the precision recall curves for this news dataset. Table 4 shows the F1 scores for TF.IDF, </w:t>
      </w:r>
      <m:oMath>
        <m:r>
          <w:rPr>
            <w:rFonts w:ascii="Cambria Math" w:hAnsi="Cambria Math"/>
            <w:sz w:val="22"/>
            <w:szCs w:val="22"/>
          </w:rPr>
          <m:t>W</m:t>
        </m:r>
      </m:oMath>
      <w:r>
        <w:rPr>
          <w:sz w:val="22"/>
          <w:szCs w:val="22"/>
        </w:rPr>
        <w:t xml:space="preserve"> and improvement percentages.</w:t>
      </w:r>
    </w:p>
    <w:p w14:paraId="425C2620" w14:textId="77777777" w:rsidR="00DD734F" w:rsidRDefault="00DD734F" w:rsidP="00DD734F"/>
    <w:p w14:paraId="500D1FE5" w14:textId="581A18D6" w:rsidR="007F3EC8" w:rsidRDefault="00485DFC" w:rsidP="00DD734F">
      <w:r>
        <w:rPr>
          <w:noProof/>
          <w:sz w:val="22"/>
          <w:szCs w:val="22"/>
          <w:lang w:val="en-US" w:eastAsia="en-US"/>
        </w:rPr>
        <w:t xml:space="preserve"> </w:t>
      </w:r>
      <w:r w:rsidR="007F3EC8">
        <w:rPr>
          <w:noProof/>
          <w:sz w:val="22"/>
          <w:szCs w:val="22"/>
          <w:lang w:val="en-US" w:eastAsia="en-US"/>
        </w:rPr>
        <w:drawing>
          <wp:inline distT="0" distB="0" distL="0" distR="0" wp14:anchorId="1D648CEF" wp14:editId="357F725C">
            <wp:extent cx="2771775" cy="1669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VStfidf-news-1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775" cy="1669415"/>
                    </a:xfrm>
                    <a:prstGeom prst="rect">
                      <a:avLst/>
                    </a:prstGeom>
                  </pic:spPr>
                </pic:pic>
              </a:graphicData>
            </a:graphic>
          </wp:inline>
        </w:drawing>
      </w:r>
    </w:p>
    <w:p w14:paraId="335214BF" w14:textId="7748839A" w:rsidR="000365BF" w:rsidRDefault="000365BF" w:rsidP="000365BF">
      <w:pPr>
        <w:pStyle w:val="ColingText"/>
        <w:jc w:val="center"/>
      </w:pPr>
      <w:r>
        <w:t>Figure 4. Precision Recall and F-measure improvements for news corpus</w:t>
      </w:r>
    </w:p>
    <w:tbl>
      <w:tblPr>
        <w:tblStyle w:val="TableGrid"/>
        <w:tblpPr w:leftFromText="180" w:rightFromText="180" w:vertAnchor="text" w:horzAnchor="page" w:tblpX="6027" w:tblpY="-1524"/>
        <w:tblW w:w="0" w:type="auto"/>
        <w:tblLook w:val="04A0" w:firstRow="1" w:lastRow="0" w:firstColumn="1" w:lastColumn="0" w:noHBand="0" w:noVBand="1"/>
      </w:tblPr>
      <w:tblGrid>
        <w:gridCol w:w="1053"/>
        <w:gridCol w:w="1142"/>
        <w:gridCol w:w="1103"/>
        <w:gridCol w:w="1294"/>
      </w:tblGrid>
      <w:tr w:rsidR="00485DFC" w14:paraId="241F413F" w14:textId="77777777" w:rsidTr="00485DFC">
        <w:tc>
          <w:tcPr>
            <w:tcW w:w="1053" w:type="dxa"/>
          </w:tcPr>
          <w:p w14:paraId="30AB0562" w14:textId="77777777" w:rsidR="00485DFC" w:rsidRDefault="00485DFC" w:rsidP="00485DFC">
            <w:pPr>
              <w:jc w:val="both"/>
            </w:pPr>
            <w:r>
              <w:t>K=</w:t>
            </w:r>
          </w:p>
        </w:tc>
        <w:tc>
          <w:tcPr>
            <w:tcW w:w="1142" w:type="dxa"/>
          </w:tcPr>
          <w:p w14:paraId="2BFA405E" w14:textId="77777777" w:rsidR="00485DFC" w:rsidRDefault="00485DFC" w:rsidP="00485DFC">
            <w:pPr>
              <w:jc w:val="both"/>
            </w:pPr>
            <w:r>
              <w:t>TF.IDF</w:t>
            </w:r>
          </w:p>
        </w:tc>
        <w:tc>
          <w:tcPr>
            <w:tcW w:w="1103" w:type="dxa"/>
          </w:tcPr>
          <w:p w14:paraId="3A841FBB" w14:textId="77777777" w:rsidR="00485DFC" w:rsidRDefault="00485DFC" w:rsidP="00485DFC">
            <w:pPr>
              <w:jc w:val="both"/>
            </w:pPr>
            <w:r>
              <w:t>W</w:t>
            </w:r>
          </w:p>
        </w:tc>
        <w:tc>
          <w:tcPr>
            <w:tcW w:w="1294" w:type="dxa"/>
          </w:tcPr>
          <w:p w14:paraId="79C20AA4" w14:textId="77777777" w:rsidR="00485DFC" w:rsidRDefault="00485DFC" w:rsidP="00485DFC">
            <w:pPr>
              <w:jc w:val="both"/>
            </w:pPr>
            <w:r>
              <w:t>Improvement</w:t>
            </w:r>
          </w:p>
        </w:tc>
      </w:tr>
      <w:tr w:rsidR="00485DFC" w14:paraId="54CD9BD8" w14:textId="77777777" w:rsidTr="00485DFC">
        <w:tc>
          <w:tcPr>
            <w:tcW w:w="1053" w:type="dxa"/>
          </w:tcPr>
          <w:p w14:paraId="5E16D78A" w14:textId="77777777" w:rsidR="00485DFC" w:rsidRDefault="00485DFC" w:rsidP="00485DFC">
            <w:pPr>
              <w:jc w:val="both"/>
            </w:pPr>
            <w:r>
              <w:t>5</w:t>
            </w:r>
          </w:p>
        </w:tc>
        <w:tc>
          <w:tcPr>
            <w:tcW w:w="1142" w:type="dxa"/>
          </w:tcPr>
          <w:p w14:paraId="2D57B82E" w14:textId="77777777" w:rsidR="00485DFC" w:rsidRDefault="00485DFC" w:rsidP="00485DFC">
            <w:pPr>
              <w:jc w:val="both"/>
            </w:pPr>
            <w:r>
              <w:t>0.153</w:t>
            </w:r>
          </w:p>
        </w:tc>
        <w:tc>
          <w:tcPr>
            <w:tcW w:w="1103" w:type="dxa"/>
          </w:tcPr>
          <w:p w14:paraId="19417788" w14:textId="77777777" w:rsidR="00485DFC" w:rsidRDefault="00485DFC" w:rsidP="00485DFC">
            <w:pPr>
              <w:jc w:val="both"/>
            </w:pPr>
            <w:r>
              <w:t>0.162</w:t>
            </w:r>
          </w:p>
        </w:tc>
        <w:tc>
          <w:tcPr>
            <w:tcW w:w="1294" w:type="dxa"/>
          </w:tcPr>
          <w:p w14:paraId="7F93666F" w14:textId="77777777" w:rsidR="00485DFC" w:rsidRDefault="00485DFC" w:rsidP="00485DFC">
            <w:pPr>
              <w:jc w:val="both"/>
            </w:pPr>
            <w:r>
              <w:t>5.6 %</w:t>
            </w:r>
          </w:p>
        </w:tc>
      </w:tr>
      <w:tr w:rsidR="00485DFC" w14:paraId="051B0EF6" w14:textId="77777777" w:rsidTr="00485DFC">
        <w:tc>
          <w:tcPr>
            <w:tcW w:w="1053" w:type="dxa"/>
          </w:tcPr>
          <w:p w14:paraId="6EE0A07B" w14:textId="77777777" w:rsidR="00485DFC" w:rsidRDefault="00485DFC" w:rsidP="00485DFC">
            <w:pPr>
              <w:jc w:val="both"/>
            </w:pPr>
            <w:r>
              <w:t>10</w:t>
            </w:r>
          </w:p>
        </w:tc>
        <w:tc>
          <w:tcPr>
            <w:tcW w:w="1142" w:type="dxa"/>
          </w:tcPr>
          <w:p w14:paraId="3A7987EB" w14:textId="77777777" w:rsidR="00485DFC" w:rsidRDefault="00485DFC" w:rsidP="00485DFC">
            <w:pPr>
              <w:jc w:val="both"/>
            </w:pPr>
            <w:r>
              <w:t>0.11</w:t>
            </w:r>
          </w:p>
        </w:tc>
        <w:tc>
          <w:tcPr>
            <w:tcW w:w="1103" w:type="dxa"/>
          </w:tcPr>
          <w:p w14:paraId="63601850" w14:textId="77777777" w:rsidR="00485DFC" w:rsidRDefault="00485DFC" w:rsidP="00485DFC">
            <w:pPr>
              <w:jc w:val="both"/>
            </w:pPr>
            <w:r>
              <w:t>0.171</w:t>
            </w:r>
          </w:p>
        </w:tc>
        <w:tc>
          <w:tcPr>
            <w:tcW w:w="1294" w:type="dxa"/>
          </w:tcPr>
          <w:p w14:paraId="78919C03" w14:textId="77777777" w:rsidR="00485DFC" w:rsidRDefault="00485DFC" w:rsidP="00485DFC">
            <w:pPr>
              <w:jc w:val="both"/>
            </w:pPr>
            <w:r>
              <w:t>17.1%</w:t>
            </w:r>
          </w:p>
        </w:tc>
      </w:tr>
      <w:tr w:rsidR="00485DFC" w14:paraId="31F8DF34" w14:textId="77777777" w:rsidTr="00485DFC">
        <w:tc>
          <w:tcPr>
            <w:tcW w:w="1053" w:type="dxa"/>
          </w:tcPr>
          <w:p w14:paraId="7A19AE2F" w14:textId="77777777" w:rsidR="00485DFC" w:rsidRDefault="00485DFC" w:rsidP="00485DFC">
            <w:pPr>
              <w:jc w:val="both"/>
            </w:pPr>
            <w:r>
              <w:t>15</w:t>
            </w:r>
          </w:p>
        </w:tc>
        <w:tc>
          <w:tcPr>
            <w:tcW w:w="1142" w:type="dxa"/>
          </w:tcPr>
          <w:p w14:paraId="463C3177" w14:textId="77777777" w:rsidR="00485DFC" w:rsidRDefault="00485DFC" w:rsidP="00485DFC">
            <w:pPr>
              <w:jc w:val="both"/>
            </w:pPr>
            <w:r>
              <w:t>0.08</w:t>
            </w:r>
          </w:p>
        </w:tc>
        <w:tc>
          <w:tcPr>
            <w:tcW w:w="1103" w:type="dxa"/>
          </w:tcPr>
          <w:p w14:paraId="0E428DC2" w14:textId="77777777" w:rsidR="00485DFC" w:rsidRDefault="00485DFC" w:rsidP="00485DFC">
            <w:pPr>
              <w:jc w:val="both"/>
            </w:pPr>
            <w:r>
              <w:t>0.105</w:t>
            </w:r>
          </w:p>
        </w:tc>
        <w:tc>
          <w:tcPr>
            <w:tcW w:w="1294" w:type="dxa"/>
          </w:tcPr>
          <w:p w14:paraId="2A44F1B1" w14:textId="77777777" w:rsidR="00485DFC" w:rsidRDefault="00485DFC" w:rsidP="00485DFC">
            <w:pPr>
              <w:jc w:val="both"/>
            </w:pPr>
            <w:r>
              <w:t>27.6%</w:t>
            </w:r>
          </w:p>
        </w:tc>
      </w:tr>
    </w:tbl>
    <w:p w14:paraId="3D734626" w14:textId="3397A7CE" w:rsidR="00994D5D" w:rsidRDefault="00485DFC" w:rsidP="00994D5D">
      <w:pPr>
        <w:pStyle w:val="ColingSection"/>
      </w:pPr>
      <w:r w:rsidRPr="00D94DD9">
        <w:rPr>
          <w:sz w:val="22"/>
          <w:szCs w:val="22"/>
        </w:rPr>
        <w:t xml:space="preserve"> </w:t>
      </w:r>
      <w:r w:rsidR="00994D5D">
        <w:t>Discussion</w:t>
      </w:r>
    </w:p>
    <w:p w14:paraId="7E5C312D" w14:textId="3DF9BBEB" w:rsidR="00577DFF" w:rsidRPr="00D94DD9" w:rsidRDefault="00577DFF" w:rsidP="00577DFF">
      <w:pPr>
        <w:jc w:val="both"/>
        <w:rPr>
          <w:sz w:val="22"/>
          <w:szCs w:val="22"/>
        </w:rPr>
      </w:pPr>
      <w:r w:rsidRPr="00D94DD9">
        <w:rPr>
          <w:sz w:val="22"/>
          <w:szCs w:val="22"/>
        </w:rPr>
        <w:t xml:space="preserve">As can be seen </w:t>
      </w:r>
      <w:r>
        <w:rPr>
          <w:sz w:val="22"/>
          <w:szCs w:val="22"/>
        </w:rPr>
        <w:t>W</w:t>
      </w:r>
      <w:r w:rsidRPr="00D94DD9">
        <w:rPr>
          <w:sz w:val="22"/>
          <w:szCs w:val="22"/>
        </w:rPr>
        <w:t xml:space="preserve"> outperforms TF.IDF in all cases. </w:t>
      </w:r>
      <w:r>
        <w:rPr>
          <w:sz w:val="22"/>
          <w:szCs w:val="22"/>
        </w:rPr>
        <w:t>The datasets we have tested on include one containing a relatively small number of large documents (Semeval corpus), two datasets containing a relatively large number of small documents (ACM and Inspeq corpuses) and finally the news dataset which contains a very large number of very short text snippets. The fact that our proposed measure outperforms TF.IDF on all of these datasets is an indication of its robustness and indicates the possibility that it might be suitable as a general-purpose enhancement to TF.IDF. We should note that the Semeval, ACM and Inspeq</w:t>
      </w:r>
      <w:r w:rsidRPr="00D94DD9">
        <w:rPr>
          <w:sz w:val="22"/>
          <w:szCs w:val="22"/>
        </w:rPr>
        <w:t xml:space="preserve"> datasets contain some human assigned keyphrases that are not found in the text of the document but are </w:t>
      </w:r>
      <w:r>
        <w:rPr>
          <w:sz w:val="22"/>
          <w:szCs w:val="22"/>
        </w:rPr>
        <w:t xml:space="preserve">external </w:t>
      </w:r>
      <w:r w:rsidRPr="00D94DD9">
        <w:rPr>
          <w:sz w:val="22"/>
          <w:szCs w:val="22"/>
        </w:rPr>
        <w:t>topics deemed relevant by human annotators. This causes the maximum possible precision</w:t>
      </w:r>
      <w:r>
        <w:rPr>
          <w:sz w:val="22"/>
          <w:szCs w:val="22"/>
        </w:rPr>
        <w:t xml:space="preserve"> for keyphrase extraction</w:t>
      </w:r>
      <w:r w:rsidRPr="00D94DD9">
        <w:rPr>
          <w:sz w:val="22"/>
          <w:szCs w:val="22"/>
        </w:rPr>
        <w:t xml:space="preserve"> to be less than 100%. However because both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 xml:space="preserve"> </m:t>
            </m:r>
          </m:sub>
        </m:sSub>
      </m:oMath>
      <w:r w:rsidRPr="00D94DD9">
        <w:rPr>
          <w:sz w:val="22"/>
          <w:szCs w:val="22"/>
        </w:rPr>
        <w:t xml:space="preserve">and TF.IDF are subject to the same evaluation procedure this shortcoming of the dataset does not hinder comparison. </w:t>
      </w:r>
    </w:p>
    <w:p w14:paraId="31D77CDD" w14:textId="77777777" w:rsidR="00577DFF" w:rsidRDefault="00577DFF" w:rsidP="00577DFF">
      <w:pPr>
        <w:jc w:val="both"/>
        <w:rPr>
          <w:sz w:val="22"/>
          <w:szCs w:val="22"/>
        </w:rPr>
      </w:pPr>
      <w:r w:rsidRPr="00D94DD9">
        <w:rPr>
          <w:sz w:val="22"/>
          <w:szCs w:val="22"/>
        </w:rPr>
        <w:t xml:space="preserve">Among the </w:t>
      </w:r>
      <w:r>
        <w:rPr>
          <w:sz w:val="22"/>
          <w:szCs w:val="22"/>
        </w:rPr>
        <w:t>four</w:t>
      </w:r>
      <w:r w:rsidRPr="00D94DD9">
        <w:rPr>
          <w:sz w:val="22"/>
          <w:szCs w:val="22"/>
        </w:rPr>
        <w:t xml:space="preserve"> corpuses the </w:t>
      </w:r>
      <w:r>
        <w:rPr>
          <w:sz w:val="22"/>
          <w:szCs w:val="22"/>
        </w:rPr>
        <w:t>smallest gains are seen in the S</w:t>
      </w:r>
      <w:r w:rsidRPr="00D94DD9">
        <w:rPr>
          <w:sz w:val="22"/>
          <w:szCs w:val="22"/>
        </w:rPr>
        <w:t>emeval dataset. We hypothesize this to b</w:t>
      </w:r>
      <w:r>
        <w:rPr>
          <w:sz w:val="22"/>
          <w:szCs w:val="22"/>
        </w:rPr>
        <w:t>e due to the small number of documents in the S</w:t>
      </w:r>
      <w:r w:rsidRPr="00D94DD9">
        <w:rPr>
          <w:sz w:val="22"/>
          <w:szCs w:val="22"/>
        </w:rPr>
        <w:t xml:space="preserve">emeval corpus compared to the other </w:t>
      </w:r>
      <w:r>
        <w:rPr>
          <w:sz w:val="22"/>
          <w:szCs w:val="22"/>
        </w:rPr>
        <w:t>three</w:t>
      </w:r>
      <w:r w:rsidRPr="00D94DD9">
        <w:rPr>
          <w:sz w:val="22"/>
          <w:szCs w:val="22"/>
        </w:rPr>
        <w:t>. Semeval contains only 284 documents whereas the other corpuses have more than a thousand each.</w:t>
      </w:r>
      <w:r>
        <w:rPr>
          <w:sz w:val="22"/>
          <w:szCs w:val="22"/>
        </w:rPr>
        <w:t xml:space="preserve"> The small number of documents in the Semeval corpus makes it less likely for several documents to be about the same topic. This in turn makes it less likely for several documents to contain the same phrase as a keyphrase. This reduces the effectiveness of </w:t>
      </w:r>
      <m:oMath>
        <m:r>
          <w:rPr>
            <w:rFonts w:ascii="Cambria Math" w:hAnsi="Cambria Math"/>
            <w:sz w:val="22"/>
            <w:szCs w:val="22"/>
          </w:rPr>
          <m:t xml:space="preserve">W </m:t>
        </m:r>
      </m:oMath>
      <w:r>
        <w:rPr>
          <w:sz w:val="22"/>
          <w:szCs w:val="22"/>
        </w:rPr>
        <w:t>in distinguishing keyphrases because it relies on keyphrases that are common to several documents, and occur in them with high frequency, thereby having a relatively high corpus term frequency to document frequency ratio. Conversely the largest gains on the F1 measure are seen on the news dataset. This, we hypothesize, is because the news dataset is more likely to contain documents that share a topic due to the large number of documents in this corpus and the a news event is usually covered by multiple news sources. As a side note, we acknowledge the smallness of the news corpus’ test set. We plan on expanding the test set in future works.</w:t>
      </w:r>
    </w:p>
    <w:p w14:paraId="32DE0B52" w14:textId="33E98558" w:rsidR="00577DFF" w:rsidRDefault="00577DFF" w:rsidP="00577DFF">
      <w:pPr>
        <w:jc w:val="both"/>
        <w:rPr>
          <w:sz w:val="22"/>
          <w:szCs w:val="22"/>
        </w:rPr>
      </w:pPr>
      <w:r>
        <w:rPr>
          <w:sz w:val="22"/>
          <w:szCs w:val="22"/>
        </w:rPr>
        <w:t xml:space="preserve">As mentioned, our final weighing scheme </w:t>
      </w:r>
      <m:oMath>
        <m:r>
          <w:rPr>
            <w:rFonts w:ascii="Cambria Math" w:hAnsi="Cambria Math"/>
            <w:sz w:val="22"/>
            <w:szCs w:val="22"/>
          </w:rPr>
          <m:t>W</m:t>
        </m:r>
      </m:oMath>
      <w:r>
        <w:rPr>
          <w:sz w:val="22"/>
          <w:szCs w:val="22"/>
        </w:rPr>
        <w:t xml:space="preserve"> is the result of combining three simpler functions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3</m:t>
            </m:r>
          </m:sub>
        </m:sSub>
      </m:oMath>
      <w:r>
        <w:rPr>
          <w:sz w:val="22"/>
          <w:szCs w:val="22"/>
        </w:rPr>
        <w:t xml:space="preserve"> as seen in equations 4, 5, 6 and 7. While </w:t>
      </w:r>
      <m:oMath>
        <m:r>
          <w:rPr>
            <w:rFonts w:ascii="Cambria Math" w:hAnsi="Cambria Math"/>
            <w:sz w:val="22"/>
            <w:szCs w:val="22"/>
          </w:rPr>
          <m:t>W</m:t>
        </m:r>
      </m:oMath>
      <w:r>
        <w:rPr>
          <w:sz w:val="22"/>
          <w:szCs w:val="22"/>
        </w:rPr>
        <w:t xml:space="preserve"> outperforms TF.IDF on all datasets, it is itself outperformed by at least one of its constituent coefficients on each dataset. For example figure 5 below shows the precision recall curves for TF.IDF, </w:t>
      </w:r>
      <m:oMath>
        <m:r>
          <w:rPr>
            <w:rFonts w:ascii="Cambria Math" w:hAnsi="Cambria Math"/>
            <w:sz w:val="22"/>
            <w:szCs w:val="22"/>
          </w:rPr>
          <m:t>W</m:t>
        </m:r>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085B01">
        <w:rPr>
          <w:sz w:val="22"/>
          <w:szCs w:val="22"/>
        </w:rPr>
        <w:t xml:space="preserve">and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085B01">
        <w:rPr>
          <w:sz w:val="22"/>
          <w:szCs w:val="22"/>
        </w:rPr>
        <w:t xml:space="preserve"> </w:t>
      </w:r>
      <w:r>
        <w:rPr>
          <w:sz w:val="22"/>
          <w:szCs w:val="22"/>
        </w:rPr>
        <w:t xml:space="preserve">on the Inspeq dataset 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Pr>
          <w:sz w:val="22"/>
          <w:szCs w:val="22"/>
        </w:rPr>
        <w:t>outperforms both other measures.</w:t>
      </w:r>
    </w:p>
    <w:p w14:paraId="60F80CDB" w14:textId="77777777" w:rsidR="004D5EF6" w:rsidRDefault="004D5EF6" w:rsidP="00577DFF">
      <w:pPr>
        <w:jc w:val="both"/>
        <w:rPr>
          <w:sz w:val="22"/>
          <w:szCs w:val="22"/>
        </w:rPr>
      </w:pPr>
    </w:p>
    <w:p w14:paraId="34EC1F45" w14:textId="3712A326" w:rsidR="00D82967" w:rsidRDefault="00D82967" w:rsidP="00D82967">
      <w:pPr>
        <w:jc w:val="center"/>
        <w:rPr>
          <w:sz w:val="22"/>
          <w:szCs w:val="22"/>
        </w:rPr>
      </w:pPr>
    </w:p>
    <w:p w14:paraId="0830150E" w14:textId="3B4550E3" w:rsidR="00085B01" w:rsidRDefault="00085B01" w:rsidP="00D82967">
      <w:pPr>
        <w:jc w:val="center"/>
        <w:rPr>
          <w:sz w:val="22"/>
          <w:szCs w:val="22"/>
        </w:rPr>
      </w:pPr>
      <w:r>
        <w:rPr>
          <w:noProof/>
          <w:sz w:val="22"/>
          <w:szCs w:val="22"/>
          <w:lang w:val="en-US" w:eastAsia="en-US"/>
        </w:rPr>
        <w:lastRenderedPageBreak/>
        <w:drawing>
          <wp:inline distT="0" distB="0" distL="0" distR="0" wp14:anchorId="6D3CF904" wp14:editId="1996539E">
            <wp:extent cx="3201390" cy="2018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q-W-W1-W2-TFIDF.png"/>
                    <pic:cNvPicPr/>
                  </pic:nvPicPr>
                  <pic:blipFill>
                    <a:blip r:embed="rId12">
                      <a:extLst>
                        <a:ext uri="{28A0092B-C50C-407E-A947-70E740481C1C}">
                          <a14:useLocalDpi xmlns:a14="http://schemas.microsoft.com/office/drawing/2010/main" val="0"/>
                        </a:ext>
                      </a:extLst>
                    </a:blip>
                    <a:stretch>
                      <a:fillRect/>
                    </a:stretch>
                  </pic:blipFill>
                  <pic:spPr>
                    <a:xfrm>
                      <a:off x="0" y="0"/>
                      <a:ext cx="3201390" cy="2018030"/>
                    </a:xfrm>
                    <a:prstGeom prst="rect">
                      <a:avLst/>
                    </a:prstGeom>
                  </pic:spPr>
                </pic:pic>
              </a:graphicData>
            </a:graphic>
          </wp:inline>
        </w:drawing>
      </w:r>
    </w:p>
    <w:p w14:paraId="690C4B7B" w14:textId="6E192DCC" w:rsidR="00D82967" w:rsidRDefault="00D82967" w:rsidP="00D82967">
      <w:pPr>
        <w:jc w:val="center"/>
        <w:rPr>
          <w:sz w:val="22"/>
          <w:szCs w:val="22"/>
        </w:rPr>
      </w:pPr>
      <w:r>
        <w:rPr>
          <w:sz w:val="22"/>
          <w:szCs w:val="22"/>
        </w:rPr>
        <w:t xml:space="preserve">Figure 5. Precision recall curves for </w:t>
      </w:r>
      <m:oMath>
        <m:r>
          <w:rPr>
            <w:rFonts w:ascii="Cambria Math" w:hAnsi="Cambria Math"/>
            <w:sz w:val="22"/>
            <w:szCs w:val="22"/>
          </w:rPr>
          <m:t>W</m:t>
        </m:r>
      </m:oMath>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1B1E87">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1B1E87">
        <w:rPr>
          <w:sz w:val="22"/>
          <w:szCs w:val="22"/>
        </w:rPr>
        <w:t xml:space="preserve"> </w:t>
      </w:r>
      <w:r>
        <w:rPr>
          <w:sz w:val="22"/>
          <w:szCs w:val="22"/>
        </w:rPr>
        <w:t>and TF.IDF on the Inspeq corp.</w:t>
      </w:r>
    </w:p>
    <w:p w14:paraId="226BD9F8" w14:textId="77777777" w:rsidR="005E7BEA" w:rsidRDefault="005E7BEA" w:rsidP="00D82967">
      <w:pPr>
        <w:jc w:val="center"/>
        <w:rPr>
          <w:sz w:val="22"/>
          <w:szCs w:val="22"/>
        </w:rPr>
      </w:pPr>
    </w:p>
    <w:p w14:paraId="20314670" w14:textId="03CD6CB1" w:rsidR="004A58D1" w:rsidRDefault="005E7BEA" w:rsidP="008D5122">
      <w:pPr>
        <w:jc w:val="both"/>
        <w:rPr>
          <w:sz w:val="22"/>
          <w:szCs w:val="22"/>
        </w:rPr>
      </w:pPr>
      <w:r>
        <w:rPr>
          <w:sz w:val="22"/>
          <w:szCs w:val="22"/>
        </w:rPr>
        <w:t xml:space="preserve">Therefore an approach where the best performing function amongst </w:t>
      </w:r>
      <m:oMath>
        <m:r>
          <w:rPr>
            <w:rFonts w:ascii="Cambria Math" w:hAnsi="Cambria Math"/>
            <w:sz w:val="22"/>
            <w:szCs w:val="22"/>
          </w:rPr>
          <m:t>W</m:t>
        </m:r>
      </m:oMath>
      <w:r>
        <w:rPr>
          <w:sz w:val="22"/>
          <w:szCs w:val="22"/>
        </w:rPr>
        <w:t xml:space="preserve"> and different combinations of its constituent coefficients is chosen for a corpus based on its performance on a corresponding training set also seems </w:t>
      </w:r>
      <w:r w:rsidR="008003EA">
        <w:rPr>
          <w:sz w:val="22"/>
          <w:szCs w:val="22"/>
        </w:rPr>
        <w:t>plausible</w:t>
      </w:r>
      <w:r>
        <w:rPr>
          <w:sz w:val="22"/>
          <w:szCs w:val="22"/>
        </w:rPr>
        <w:t>.</w:t>
      </w:r>
    </w:p>
    <w:p w14:paraId="04E89DBC" w14:textId="3597E66F" w:rsidR="00096240" w:rsidRDefault="00794943" w:rsidP="008D5122">
      <w:pPr>
        <w:jc w:val="both"/>
        <w:rPr>
          <w:sz w:val="22"/>
          <w:szCs w:val="22"/>
        </w:rPr>
      </w:pPr>
      <w:r>
        <w:rPr>
          <w:sz w:val="22"/>
          <w:szCs w:val="22"/>
        </w:rPr>
        <w:t xml:space="preserve">Figure 5 also shows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Pr>
          <w:sz w:val="22"/>
          <w:szCs w:val="22"/>
        </w:rPr>
        <w:t xml:space="preserve"> outperforming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Pr>
          <w:sz w:val="22"/>
          <w:szCs w:val="22"/>
        </w:rPr>
        <w:t xml:space="preserve"> on the Inspeq dataset. </w:t>
      </w:r>
      <w:r w:rsidR="00684B52">
        <w:rPr>
          <w:sz w:val="22"/>
          <w:szCs w:val="22"/>
        </w:rPr>
        <w:t xml:space="preserve">The reason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684B52">
        <w:rPr>
          <w:sz w:val="22"/>
          <w:szCs w:val="22"/>
        </w:rPr>
        <w:t xml:space="preserve"> outperforms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684B52">
        <w:rPr>
          <w:sz w:val="22"/>
          <w:szCs w:val="22"/>
        </w:rPr>
        <w:t xml:space="preserve"> on this dataset could be due to the existence of non-keyphrase terms with high</w:t>
      </w:r>
      <w:r w:rsidR="00AF1DA8">
        <w:rPr>
          <w:sz w:val="22"/>
          <w:szCs w:val="22"/>
        </w:rPr>
        <w:t xml:space="preserve"> </w:t>
      </w:r>
      <m:oMath>
        <m:r>
          <w:rPr>
            <w:rFonts w:ascii="Cambria Math" w:hAnsi="Cambria Math"/>
            <w:sz w:val="22"/>
            <w:szCs w:val="22"/>
          </w:rPr>
          <m:t>μ</m:t>
        </m:r>
      </m:oMath>
      <w:r w:rsidR="004E4A32">
        <w:rPr>
          <w:sz w:val="22"/>
          <w:szCs w:val="22"/>
        </w:rPr>
        <w:t>s</w:t>
      </w:r>
      <w:r w:rsidR="00AF1DA8">
        <w:rPr>
          <w:sz w:val="22"/>
          <w:szCs w:val="22"/>
        </w:rPr>
        <w:t xml:space="preserve">. In the hypothetical example presnted in the approach section we showed how </w:t>
      </w:r>
      <m:oMath>
        <m:r>
          <w:rPr>
            <w:rFonts w:ascii="Cambria Math" w:hAnsi="Cambria Math"/>
            <w:sz w:val="22"/>
            <w:szCs w:val="22"/>
          </w:rPr>
          <m:t>μ</m:t>
        </m:r>
      </m:oMath>
      <w:r w:rsidR="00AF1DA8">
        <w:rPr>
          <w:sz w:val="22"/>
          <w:szCs w:val="22"/>
        </w:rPr>
        <w:t xml:space="preserve"> is insensitive to</w:t>
      </w:r>
      <w:r w:rsidR="00CC0AB3">
        <w:rPr>
          <w:sz w:val="22"/>
          <w:szCs w:val="22"/>
        </w:rPr>
        <w:t xml:space="preserve"> frequncy where</w:t>
      </w:r>
      <w:r w:rsidR="00AF1DA8">
        <w:rPr>
          <w:sz w:val="22"/>
          <w:szCs w:val="22"/>
        </w:rPr>
        <w:t xml:space="preserve">as </w:t>
      </w:r>
      <m:oMath>
        <m:r>
          <w:rPr>
            <w:rFonts w:ascii="Cambria Math" w:hAnsi="Cambria Math"/>
            <w:sz w:val="22"/>
            <w:szCs w:val="22"/>
          </w:rPr>
          <m:t>ν</m:t>
        </m:r>
      </m:oMath>
      <w:r w:rsidR="00CC0AB3">
        <w:rPr>
          <w:sz w:val="22"/>
          <w:szCs w:val="22"/>
        </w:rPr>
        <w:t xml:space="preserve"> assigns higher weights to rarer terms</w:t>
      </w:r>
      <w:r w:rsidR="00AF1DA8">
        <w:rPr>
          <w:sz w:val="22"/>
          <w:szCs w:val="22"/>
        </w:rPr>
        <w:t xml:space="preserve">. As a result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AF1DA8">
        <w:rPr>
          <w:sz w:val="22"/>
          <w:szCs w:val="22"/>
        </w:rPr>
        <w:t xml:space="preserve">, which is </w:t>
      </w:r>
      <w:r w:rsidR="00684B52">
        <w:rPr>
          <w:sz w:val="22"/>
          <w:szCs w:val="22"/>
        </w:rPr>
        <w:t xml:space="preserve"> </w:t>
      </w:r>
      <w:r w:rsidR="00AF1DA8">
        <w:rPr>
          <w:sz w:val="22"/>
          <w:szCs w:val="22"/>
        </w:rPr>
        <w:t xml:space="preserve">a function of </w:t>
      </w:r>
      <m:oMath>
        <m:r>
          <w:rPr>
            <w:rFonts w:ascii="Cambria Math" w:hAnsi="Cambria Math"/>
            <w:sz w:val="22"/>
            <w:szCs w:val="22"/>
          </w:rPr>
          <m:t>μ</m:t>
        </m:r>
      </m:oMath>
      <w:r w:rsidR="00A45396">
        <w:rPr>
          <w:sz w:val="22"/>
          <w:szCs w:val="22"/>
        </w:rPr>
        <w:t>,</w:t>
      </w:r>
      <w:r w:rsidR="00AF1DA8">
        <w:rPr>
          <w:sz w:val="22"/>
          <w:szCs w:val="22"/>
        </w:rPr>
        <w:t xml:space="preserve"> as seen in equation 2</w:t>
      </w:r>
      <w:r w:rsidR="00A45396">
        <w:rPr>
          <w:sz w:val="22"/>
          <w:szCs w:val="22"/>
        </w:rPr>
        <w:t>,</w:t>
      </w:r>
      <w:r w:rsidR="00AF1DA8">
        <w:rPr>
          <w:sz w:val="22"/>
          <w:szCs w:val="22"/>
        </w:rPr>
        <w:t xml:space="preserve"> is outperformed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AF1DA8">
        <w:rPr>
          <w:sz w:val="22"/>
          <w:szCs w:val="22"/>
        </w:rPr>
        <w:t xml:space="preserve"> which is a function of </w:t>
      </w:r>
      <m:oMath>
        <m:r>
          <w:rPr>
            <w:rFonts w:ascii="Cambria Math" w:hAnsi="Cambria Math"/>
            <w:sz w:val="22"/>
            <w:szCs w:val="22"/>
          </w:rPr>
          <m:t>ν</m:t>
        </m:r>
      </m:oMath>
      <w:r w:rsidR="00AF1DA8">
        <w:rPr>
          <w:sz w:val="22"/>
          <w:szCs w:val="22"/>
        </w:rPr>
        <w:t xml:space="preserve"> as in equation 5.</w:t>
      </w:r>
      <w:r w:rsidR="00A45396">
        <w:rPr>
          <w:sz w:val="22"/>
          <w:szCs w:val="22"/>
        </w:rPr>
        <w:t xml:space="preserve"> </w:t>
      </w:r>
      <w:r w:rsidR="00BC7905">
        <w:rPr>
          <w:sz w:val="22"/>
          <w:szCs w:val="22"/>
        </w:rPr>
        <w:t>One conveivable group of</w:t>
      </w:r>
      <w:r w:rsidR="00A45396">
        <w:rPr>
          <w:sz w:val="22"/>
          <w:szCs w:val="22"/>
        </w:rPr>
        <w:t xml:space="preserve"> </w:t>
      </w:r>
      <w:r w:rsidR="00BC7905">
        <w:rPr>
          <w:sz w:val="22"/>
          <w:szCs w:val="22"/>
        </w:rPr>
        <w:t>high-frequency non-keyphrase terms</w:t>
      </w:r>
      <w:r w:rsidR="00870E81">
        <w:rPr>
          <w:sz w:val="22"/>
          <w:szCs w:val="22"/>
        </w:rPr>
        <w:t xml:space="preserve"> in a dataset could be</w:t>
      </w:r>
      <w:r w:rsidR="00BC7905">
        <w:rPr>
          <w:sz w:val="22"/>
          <w:szCs w:val="22"/>
        </w:rPr>
        <w:t xml:space="preserve"> comprised of words that are not keyphrases themselves but are part of multi-word keyphrases.</w:t>
      </w:r>
      <w:r w:rsidR="00870E81">
        <w:rPr>
          <w:sz w:val="22"/>
          <w:szCs w:val="22"/>
        </w:rPr>
        <w:t xml:space="preserve"> This is similar to the scenario </w:t>
      </w:r>
      <w:r w:rsidR="00B40A9F">
        <w:rPr>
          <w:sz w:val="22"/>
          <w:szCs w:val="22"/>
        </w:rPr>
        <w:t>presented</w:t>
      </w:r>
      <w:r w:rsidR="00870E81">
        <w:rPr>
          <w:sz w:val="22"/>
          <w:szCs w:val="22"/>
        </w:rPr>
        <w:t xml:space="preserve"> in our hypothetical example in the approach section. Therefore it could be hypothesized that the keyphrases for such a dataset are more likely to be multiwords compared to a dataset </w:t>
      </w:r>
      <w:r w:rsidR="00B40A9F">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B40A9F">
        <w:rPr>
          <w:sz w:val="22"/>
          <w:szCs w:val="22"/>
        </w:rPr>
        <w:t xml:space="preserve"> outperforms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B40A9F">
        <w:rPr>
          <w:sz w:val="22"/>
          <w:szCs w:val="22"/>
        </w:rPr>
        <w:t xml:space="preserve">. This is indeed what we see with the ACM and Inspeq datasets. As mentioned, figure 5 depicts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B40A9F">
        <w:rPr>
          <w:sz w:val="22"/>
          <w:szCs w:val="22"/>
        </w:rPr>
        <w:t xml:space="preserve"> outperforming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B40A9F">
        <w:rPr>
          <w:sz w:val="22"/>
          <w:szCs w:val="22"/>
        </w:rPr>
        <w:t xml:space="preserve"> on the Inspeq dataset. Similartly figure 6 shows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B40A9F">
        <w:rPr>
          <w:sz w:val="22"/>
          <w:szCs w:val="22"/>
        </w:rPr>
        <w:t xml:space="preserve"> outperforming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B40A9F">
        <w:rPr>
          <w:sz w:val="22"/>
          <w:szCs w:val="22"/>
        </w:rPr>
        <w:t xml:space="preserve"> on the ACM dataset.</w:t>
      </w:r>
    </w:p>
    <w:p w14:paraId="38849EED" w14:textId="77777777" w:rsidR="00B203CC" w:rsidRDefault="00B203CC" w:rsidP="008D5122">
      <w:pPr>
        <w:jc w:val="both"/>
        <w:rPr>
          <w:sz w:val="22"/>
          <w:szCs w:val="22"/>
        </w:rPr>
      </w:pPr>
    </w:p>
    <w:p w14:paraId="48ADC843" w14:textId="43684DD3" w:rsidR="00B203CC" w:rsidRDefault="00B36BD3" w:rsidP="00B203CC">
      <w:pPr>
        <w:ind w:left="720" w:firstLine="720"/>
        <w:jc w:val="both"/>
        <w:rPr>
          <w:sz w:val="22"/>
          <w:szCs w:val="22"/>
        </w:rPr>
      </w:pPr>
      <w:r>
        <w:rPr>
          <w:noProof/>
          <w:sz w:val="22"/>
          <w:szCs w:val="22"/>
          <w:lang w:val="en-US" w:eastAsia="en-US"/>
        </w:rPr>
        <w:drawing>
          <wp:inline distT="0" distB="0" distL="0" distR="0" wp14:anchorId="137E7CE2" wp14:editId="18BEB79E">
            <wp:extent cx="3770630" cy="200191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tfidf-w1-w2.png"/>
                    <pic:cNvPicPr/>
                  </pic:nvPicPr>
                  <pic:blipFill>
                    <a:blip r:embed="rId13">
                      <a:extLst>
                        <a:ext uri="{28A0092B-C50C-407E-A947-70E740481C1C}">
                          <a14:useLocalDpi xmlns:a14="http://schemas.microsoft.com/office/drawing/2010/main" val="0"/>
                        </a:ext>
                      </a:extLst>
                    </a:blip>
                    <a:stretch>
                      <a:fillRect/>
                    </a:stretch>
                  </pic:blipFill>
                  <pic:spPr>
                    <a:xfrm>
                      <a:off x="0" y="0"/>
                      <a:ext cx="3770937" cy="2002076"/>
                    </a:xfrm>
                    <a:prstGeom prst="rect">
                      <a:avLst/>
                    </a:prstGeom>
                  </pic:spPr>
                </pic:pic>
              </a:graphicData>
            </a:graphic>
          </wp:inline>
        </w:drawing>
      </w:r>
    </w:p>
    <w:p w14:paraId="16ACC979" w14:textId="6796F75F" w:rsidR="00295CA3" w:rsidRDefault="003A0A19" w:rsidP="00B36BD3">
      <w:pPr>
        <w:jc w:val="center"/>
        <w:rPr>
          <w:sz w:val="22"/>
          <w:szCs w:val="22"/>
        </w:rPr>
      </w:pPr>
      <w:r>
        <w:rPr>
          <w:sz w:val="22"/>
          <w:szCs w:val="22"/>
        </w:rPr>
        <w:t xml:space="preserve">Figure 6. Precision recall curves for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Pr>
          <w:sz w:val="22"/>
          <w:szCs w:val="22"/>
        </w:rPr>
        <w:t xml:space="preserve"> and TF.IDF on the ACM corp.</w:t>
      </w:r>
    </w:p>
    <w:p w14:paraId="7D2B535D" w14:textId="1E62A1A4" w:rsidR="005A71F6" w:rsidRPr="00D9723C" w:rsidRDefault="00CC0AB3" w:rsidP="00AF1DA8">
      <w:pPr>
        <w:pStyle w:val="ColingSection"/>
        <w:numPr>
          <w:ilvl w:val="0"/>
          <w:numId w:val="0"/>
        </w:numPr>
        <w:rPr>
          <w:b w:val="0"/>
        </w:rPr>
      </w:pPr>
      <w:r>
        <w:rPr>
          <w:b w:val="0"/>
        </w:rPr>
        <w:t>The</w:t>
      </w:r>
      <w:r w:rsidR="005A71F6">
        <w:rPr>
          <w:b w:val="0"/>
        </w:rPr>
        <w:t xml:space="preserve"> average number of words in a keyphrase in the Inspeq dataset is 2.32 </w:t>
      </w:r>
      <w:r>
        <w:rPr>
          <w:b w:val="0"/>
        </w:rPr>
        <w:t>but</w:t>
      </w:r>
      <w:bookmarkStart w:id="0" w:name="_GoBack"/>
      <w:bookmarkEnd w:id="0"/>
      <w:r w:rsidR="005A71F6">
        <w:rPr>
          <w:b w:val="0"/>
        </w:rPr>
        <w:t xml:space="preserve"> 1.87 in the ACM dataset. </w:t>
      </w:r>
      <w:r w:rsidR="00D9723C">
        <w:rPr>
          <w:b w:val="0"/>
        </w:rPr>
        <w:t xml:space="preserve">The fact that the Inspeq dataset has generally longer keyphrases </w:t>
      </w:r>
      <w:r w:rsidR="00871659">
        <w:rPr>
          <w:b w:val="0"/>
        </w:rPr>
        <w:t>along with</w:t>
      </w:r>
      <w:r w:rsidR="00D9723C">
        <w:rPr>
          <w:b w:val="0"/>
        </w:rPr>
        <w:t xml:space="preserve"> the higher performance of </w:t>
      </w:r>
      <m:oMath>
        <m:sSub>
          <m:sSubPr>
            <m:ctrlPr>
              <w:rPr>
                <w:rFonts w:ascii="Cambria Math" w:hAnsi="Cambria Math"/>
                <w:i/>
                <w:sz w:val="22"/>
                <w:szCs w:val="22"/>
              </w:rPr>
            </m:ctrlPr>
          </m:sSubPr>
          <m:e>
            <m:r>
              <m:rPr>
                <m:sty m:val="bi"/>
              </m:rPr>
              <w:rPr>
                <w:rFonts w:ascii="Cambria Math" w:hAnsi="Cambria Math"/>
                <w:sz w:val="22"/>
                <w:szCs w:val="22"/>
              </w:rPr>
              <m:t>W</m:t>
            </m:r>
          </m:e>
          <m:sub>
            <m:r>
              <m:rPr>
                <m:sty m:val="bi"/>
              </m:rPr>
              <w:rPr>
                <w:rFonts w:ascii="Cambria Math" w:hAnsi="Cambria Math"/>
                <w:sz w:val="22"/>
                <w:szCs w:val="22"/>
              </w:rPr>
              <m:t>2</m:t>
            </m:r>
          </m:sub>
        </m:sSub>
      </m:oMath>
      <w:r w:rsidR="00D9723C">
        <w:rPr>
          <w:sz w:val="22"/>
          <w:szCs w:val="22"/>
        </w:rPr>
        <w:t xml:space="preserve"> </w:t>
      </w:r>
      <w:r w:rsidR="00D9723C">
        <w:rPr>
          <w:b w:val="0"/>
          <w:sz w:val="22"/>
          <w:szCs w:val="22"/>
        </w:rPr>
        <w:t xml:space="preserve">on this dataset </w:t>
      </w:r>
      <w:r w:rsidR="00871659">
        <w:rPr>
          <w:b w:val="0"/>
          <w:sz w:val="22"/>
          <w:szCs w:val="22"/>
        </w:rPr>
        <w:t>may indeed serve as an indication of the liklihood of scenarios similar to the hypothetical example presented in the approach seciton.</w:t>
      </w:r>
    </w:p>
    <w:p w14:paraId="194C5E14" w14:textId="77777777" w:rsidR="00E01C47" w:rsidRDefault="00C30C59" w:rsidP="00AF1DA8">
      <w:pPr>
        <w:pStyle w:val="ColingSection"/>
        <w:numPr>
          <w:ilvl w:val="0"/>
          <w:numId w:val="0"/>
        </w:numPr>
      </w:pPr>
      <w:r>
        <w:t>Conclusion</w:t>
      </w:r>
    </w:p>
    <w:p w14:paraId="1493A651" w14:textId="01EE7377" w:rsidR="008D5122" w:rsidRPr="00602776" w:rsidRDefault="008D5122" w:rsidP="00602776">
      <w:pPr>
        <w:pStyle w:val="EACLText"/>
        <w:rPr>
          <w:szCs w:val="22"/>
        </w:rPr>
      </w:pPr>
      <w:r>
        <w:rPr>
          <w:szCs w:val="22"/>
        </w:rPr>
        <w:t>TF.IDF term ranking is a common technique for distinguishing important terms in text. Furthermore it is a core feature in many more sophisticated keyphrase extraction algorithms, notably the best pe</w:t>
      </w:r>
      <w:r>
        <w:rPr>
          <w:szCs w:val="22"/>
        </w:rPr>
        <w:t>r</w:t>
      </w:r>
      <w:r>
        <w:rPr>
          <w:szCs w:val="22"/>
        </w:rPr>
        <w:t xml:space="preserve">forming supervised and unsupervised systems in the Semeval 2010 keyphrase extraction shared task. </w:t>
      </w:r>
      <w:r>
        <w:rPr>
          <w:szCs w:val="22"/>
        </w:rPr>
        <w:lastRenderedPageBreak/>
        <w:t>In this work we have proposed an improvement to TF.IDF that incorporates corpus term frequency. An important future direction for our research would be to replace TF.IDF with our proposed measure in state-of-the-art algorithms to see whether the improvements we see over TF.IDF propagate to the final output in these complex algorithms. Other tasks such as information retrieval and document cla</w:t>
      </w:r>
      <w:r>
        <w:rPr>
          <w:szCs w:val="22"/>
        </w:rPr>
        <w:t>s</w:t>
      </w:r>
      <w:r>
        <w:rPr>
          <w:szCs w:val="22"/>
        </w:rPr>
        <w:t>sification that use TF.IDF to build vector space representations of documents may also see improv</w:t>
      </w:r>
      <w:r>
        <w:rPr>
          <w:szCs w:val="22"/>
        </w:rPr>
        <w:t>e</w:t>
      </w:r>
      <w:r>
        <w:rPr>
          <w:szCs w:val="22"/>
        </w:rPr>
        <w:t>ments by using our proposed method.</w:t>
      </w:r>
    </w:p>
    <w:p w14:paraId="28AF9424" w14:textId="77777777" w:rsidR="00C30C59" w:rsidRDefault="00C30C59" w:rsidP="00C30C59">
      <w:pPr>
        <w:pStyle w:val="ColingReferencesHeading"/>
      </w:pPr>
      <w:r>
        <w:t>Reference</w:t>
      </w:r>
    </w:p>
    <w:p w14:paraId="1E23B13F" w14:textId="77777777" w:rsidR="000D6BD4" w:rsidRPr="0007159F" w:rsidRDefault="000D6BD4" w:rsidP="000D6BD4">
      <w:pPr>
        <w:pStyle w:val="References"/>
        <w:rPr>
          <w:rFonts w:ascii="Times" w:hAnsi="Times"/>
          <w:sz w:val="20"/>
        </w:rPr>
      </w:pPr>
      <w:r w:rsidRPr="0007159F">
        <w:rPr>
          <w:sz w:val="20"/>
          <w:shd w:val="clear" w:color="auto" w:fill="FFFFFF"/>
        </w:rPr>
        <w:t>El-Beltagy, S. R., &amp; Rafea, A. 2010 . Kp-miner: Participation in semeval-2. In </w:t>
      </w:r>
      <w:r w:rsidRPr="0007159F">
        <w:rPr>
          <w:i/>
          <w:iCs/>
          <w:sz w:val="20"/>
          <w:shd w:val="clear" w:color="auto" w:fill="FFFFFF"/>
        </w:rPr>
        <w:t>Proceedings of the 5th inte</w:t>
      </w:r>
      <w:r w:rsidRPr="0007159F">
        <w:rPr>
          <w:i/>
          <w:iCs/>
          <w:sz w:val="20"/>
          <w:shd w:val="clear" w:color="auto" w:fill="FFFFFF"/>
        </w:rPr>
        <w:t>r</w:t>
      </w:r>
      <w:r w:rsidRPr="0007159F">
        <w:rPr>
          <w:i/>
          <w:iCs/>
          <w:sz w:val="20"/>
          <w:shd w:val="clear" w:color="auto" w:fill="FFFFFF"/>
        </w:rPr>
        <w:t>national workshop on semantic evaluation</w:t>
      </w:r>
      <w:r w:rsidRPr="0007159F">
        <w:rPr>
          <w:sz w:val="20"/>
          <w:shd w:val="clear" w:color="auto" w:fill="FFFFFF"/>
        </w:rPr>
        <w:t> (pp. 190-193). Association for Computational Linguistics.</w:t>
      </w:r>
    </w:p>
    <w:p w14:paraId="5A537FD3" w14:textId="77777777" w:rsidR="000D6BD4" w:rsidRPr="0007159F" w:rsidRDefault="000D6BD4" w:rsidP="000D6BD4">
      <w:pPr>
        <w:pStyle w:val="References"/>
        <w:rPr>
          <w:rFonts w:ascii="Times" w:hAnsi="Times"/>
          <w:sz w:val="20"/>
        </w:rPr>
      </w:pPr>
      <w:r w:rsidRPr="0007159F">
        <w:rPr>
          <w:sz w:val="20"/>
          <w:shd w:val="clear" w:color="auto" w:fill="FFFFFF"/>
        </w:rPr>
        <w:t>Finkelstein, L., Gabrilovich, E., Matias, Y., Rivlin, E., Solan, Z., Wolfman, G., &amp; Ruppin, E. 2001. Placing search in context: The concept revisited. In</w:t>
      </w:r>
      <w:r w:rsidRPr="0007159F">
        <w:rPr>
          <w:i/>
          <w:iCs/>
          <w:sz w:val="20"/>
          <w:shd w:val="clear" w:color="auto" w:fill="FFFFFF"/>
        </w:rPr>
        <w:t>Proceedings of the 10th international conference on World Wide Web</w:t>
      </w:r>
      <w:r w:rsidRPr="0007159F">
        <w:rPr>
          <w:sz w:val="20"/>
          <w:shd w:val="clear" w:color="auto" w:fill="FFFFFF"/>
        </w:rPr>
        <w:t> (pp. 406-414). ACM.</w:t>
      </w:r>
    </w:p>
    <w:p w14:paraId="505B957F" w14:textId="77777777" w:rsidR="000D6BD4" w:rsidRPr="0007159F" w:rsidRDefault="000D6BD4" w:rsidP="000D6BD4">
      <w:pPr>
        <w:pStyle w:val="References"/>
        <w:rPr>
          <w:rFonts w:ascii="Times" w:hAnsi="Times"/>
          <w:sz w:val="20"/>
        </w:rPr>
      </w:pPr>
      <w:r w:rsidRPr="0007159F">
        <w:rPr>
          <w:sz w:val="20"/>
          <w:shd w:val="clear" w:color="auto" w:fill="FFFFFF"/>
        </w:rPr>
        <w:t>Fortuna, B., Mladenič, D., &amp; Grobelnik, M. 2006 . </w:t>
      </w:r>
      <w:r w:rsidRPr="0007159F">
        <w:rPr>
          <w:i/>
          <w:iCs/>
          <w:sz w:val="20"/>
          <w:shd w:val="clear" w:color="auto" w:fill="FFFFFF"/>
        </w:rPr>
        <w:t>Semi-automatic construction of topic ontologies</w:t>
      </w:r>
      <w:r w:rsidRPr="0007159F">
        <w:rPr>
          <w:sz w:val="20"/>
          <w:shd w:val="clear" w:color="auto" w:fill="FFFFFF"/>
        </w:rPr>
        <w:t> (pp. 121-131). Springer Berlin Heidelberg.</w:t>
      </w:r>
    </w:p>
    <w:p w14:paraId="64830CCA" w14:textId="77777777" w:rsidR="000D6BD4" w:rsidRPr="0007159F" w:rsidRDefault="000D6BD4" w:rsidP="000D6BD4">
      <w:pPr>
        <w:pStyle w:val="References"/>
        <w:rPr>
          <w:sz w:val="20"/>
        </w:rPr>
      </w:pPr>
      <w:r w:rsidRPr="0007159F">
        <w:rPr>
          <w:sz w:val="20"/>
          <w:shd w:val="clear" w:color="auto" w:fill="FFFFFF"/>
        </w:rPr>
        <w:t>Hammouda, K. M., Matute, D. N., &amp; Kamel, M. S. 2005. Corephrase: Keyphrase extraction for document clustering. In </w:t>
      </w:r>
      <w:r w:rsidRPr="0007159F">
        <w:rPr>
          <w:i/>
          <w:iCs/>
          <w:sz w:val="20"/>
          <w:shd w:val="clear" w:color="auto" w:fill="FFFFFF"/>
        </w:rPr>
        <w:t>Machine Learning and Data Mining in Pattern Recognition</w:t>
      </w:r>
      <w:r w:rsidRPr="0007159F">
        <w:rPr>
          <w:sz w:val="20"/>
          <w:shd w:val="clear" w:color="auto" w:fill="FFFFFF"/>
        </w:rPr>
        <w:t> (pp. 265-274). Springer Berlin Heidelberg.</w:t>
      </w:r>
    </w:p>
    <w:p w14:paraId="128E918E" w14:textId="77777777" w:rsidR="000D6BD4" w:rsidRPr="0007159F" w:rsidRDefault="000D6BD4" w:rsidP="000D6BD4">
      <w:pPr>
        <w:pStyle w:val="References"/>
        <w:rPr>
          <w:rFonts w:ascii="Times" w:hAnsi="Times"/>
          <w:sz w:val="20"/>
        </w:rPr>
      </w:pPr>
      <w:r w:rsidRPr="0007159F">
        <w:rPr>
          <w:sz w:val="20"/>
          <w:shd w:val="clear" w:color="auto" w:fill="FFFFFF"/>
        </w:rPr>
        <w:t>Hasan, K. S., &amp; Ng, V. 2010. Conundrums in unsupe</w:t>
      </w:r>
      <w:r w:rsidRPr="0007159F">
        <w:rPr>
          <w:sz w:val="20"/>
          <w:shd w:val="clear" w:color="auto" w:fill="FFFFFF"/>
        </w:rPr>
        <w:t>r</w:t>
      </w:r>
      <w:r w:rsidRPr="0007159F">
        <w:rPr>
          <w:sz w:val="20"/>
          <w:shd w:val="clear" w:color="auto" w:fill="FFFFFF"/>
        </w:rPr>
        <w:t>vised keyphrase extraction: making sense of the state-of-the-art. In </w:t>
      </w:r>
      <w:r w:rsidRPr="0007159F">
        <w:rPr>
          <w:i/>
          <w:iCs/>
          <w:sz w:val="20"/>
          <w:shd w:val="clear" w:color="auto" w:fill="FFFFFF"/>
        </w:rPr>
        <w:t>Proceedings of the 23rd International Conference on Computational Linguistics: Posters</w:t>
      </w:r>
      <w:r w:rsidRPr="0007159F">
        <w:rPr>
          <w:sz w:val="20"/>
          <w:shd w:val="clear" w:color="auto" w:fill="FFFFFF"/>
        </w:rPr>
        <w:t> (pp. 365-373). Association for Computational Linguistics.</w:t>
      </w:r>
    </w:p>
    <w:p w14:paraId="0272A4D8" w14:textId="77777777" w:rsidR="000D6BD4" w:rsidRPr="0007159F" w:rsidRDefault="000D6BD4" w:rsidP="000D6BD4">
      <w:pPr>
        <w:pStyle w:val="References"/>
        <w:rPr>
          <w:rFonts w:ascii="Times" w:hAnsi="Times"/>
          <w:sz w:val="20"/>
        </w:rPr>
      </w:pPr>
      <w:r w:rsidRPr="0007159F">
        <w:rPr>
          <w:sz w:val="20"/>
          <w:shd w:val="clear" w:color="auto" w:fill="FFFFFF"/>
        </w:rPr>
        <w:t>Hulth, A. 2003. Improved automatic keyword extra</w:t>
      </w:r>
      <w:r w:rsidRPr="0007159F">
        <w:rPr>
          <w:sz w:val="20"/>
          <w:shd w:val="clear" w:color="auto" w:fill="FFFFFF"/>
        </w:rPr>
        <w:t>c</w:t>
      </w:r>
      <w:r w:rsidRPr="0007159F">
        <w:rPr>
          <w:sz w:val="20"/>
          <w:shd w:val="clear" w:color="auto" w:fill="FFFFFF"/>
        </w:rPr>
        <w:t>tion given more linguistic knowledge. In </w:t>
      </w:r>
      <w:r w:rsidRPr="0007159F">
        <w:rPr>
          <w:i/>
          <w:iCs/>
          <w:sz w:val="20"/>
          <w:shd w:val="clear" w:color="auto" w:fill="FFFFFF"/>
        </w:rPr>
        <w:t>Proceedings of the 2003 conference on Empirical methods in natural language processing</w:t>
      </w:r>
      <w:r w:rsidRPr="0007159F">
        <w:rPr>
          <w:sz w:val="20"/>
          <w:shd w:val="clear" w:color="auto" w:fill="FFFFFF"/>
        </w:rPr>
        <w:t> (pp. 216-223). Association for Computational Li</w:t>
      </w:r>
      <w:r w:rsidRPr="0007159F">
        <w:rPr>
          <w:sz w:val="20"/>
          <w:shd w:val="clear" w:color="auto" w:fill="FFFFFF"/>
        </w:rPr>
        <w:t>n</w:t>
      </w:r>
      <w:r w:rsidRPr="0007159F">
        <w:rPr>
          <w:sz w:val="20"/>
          <w:shd w:val="clear" w:color="auto" w:fill="FFFFFF"/>
        </w:rPr>
        <w:t>guistics.</w:t>
      </w:r>
    </w:p>
    <w:p w14:paraId="032AA50D" w14:textId="77777777" w:rsidR="000D6BD4" w:rsidRPr="0007159F" w:rsidRDefault="000D6BD4" w:rsidP="000D6BD4">
      <w:pPr>
        <w:pStyle w:val="References"/>
        <w:rPr>
          <w:rFonts w:ascii="Times" w:hAnsi="Times"/>
          <w:sz w:val="20"/>
        </w:rPr>
      </w:pPr>
      <w:r w:rsidRPr="0007159F">
        <w:rPr>
          <w:rFonts w:ascii="Times" w:hAnsi="Times" w:cs="Arial"/>
          <w:color w:val="222222"/>
          <w:sz w:val="20"/>
          <w:shd w:val="clear" w:color="auto" w:fill="FFFFFF"/>
        </w:rPr>
        <w:t>Jones, K. "A statistical interpretation of term specificity and its application in retrieval." </w:t>
      </w:r>
      <w:r w:rsidRPr="0007159F">
        <w:rPr>
          <w:rFonts w:ascii="Times" w:hAnsi="Times" w:cs="Arial"/>
          <w:i/>
          <w:iCs/>
          <w:color w:val="222222"/>
          <w:sz w:val="20"/>
          <w:shd w:val="clear" w:color="auto" w:fill="FFFFFF"/>
        </w:rPr>
        <w:t>Journal of doc</w:t>
      </w:r>
      <w:r w:rsidRPr="0007159F">
        <w:rPr>
          <w:rFonts w:ascii="Times" w:hAnsi="Times" w:cs="Arial"/>
          <w:i/>
          <w:iCs/>
          <w:color w:val="222222"/>
          <w:sz w:val="20"/>
          <w:shd w:val="clear" w:color="auto" w:fill="FFFFFF"/>
        </w:rPr>
        <w:t>u</w:t>
      </w:r>
      <w:r w:rsidRPr="0007159F">
        <w:rPr>
          <w:rFonts w:ascii="Times" w:hAnsi="Times" w:cs="Arial"/>
          <w:i/>
          <w:iCs/>
          <w:color w:val="222222"/>
          <w:sz w:val="20"/>
          <w:shd w:val="clear" w:color="auto" w:fill="FFFFFF"/>
        </w:rPr>
        <w:t>mentation</w:t>
      </w:r>
      <w:r w:rsidRPr="0007159F">
        <w:rPr>
          <w:rFonts w:ascii="Times" w:hAnsi="Times" w:cs="Arial"/>
          <w:color w:val="222222"/>
          <w:sz w:val="20"/>
          <w:shd w:val="clear" w:color="auto" w:fill="FFFFFF"/>
        </w:rPr>
        <w:t> 28.1 (1972): 11-21.</w:t>
      </w:r>
    </w:p>
    <w:p w14:paraId="160A8825" w14:textId="77777777" w:rsidR="000D6BD4" w:rsidRPr="0007159F" w:rsidRDefault="000D6BD4" w:rsidP="000D6BD4">
      <w:pPr>
        <w:pStyle w:val="References"/>
        <w:rPr>
          <w:rFonts w:ascii="Times" w:hAnsi="Times"/>
          <w:sz w:val="20"/>
        </w:rPr>
      </w:pPr>
      <w:r w:rsidRPr="0007159F">
        <w:rPr>
          <w:sz w:val="20"/>
          <w:shd w:val="clear" w:color="auto" w:fill="FFFFFF"/>
        </w:rPr>
        <w:t>Karanikolas, N. N., &amp; Skourlas, C. 2004. Key-phrase extraction for classification. In MEDICON and HEALTH TELEMATICS 2004: X Mediterranean Conference on Medical and Biological Engineering.</w:t>
      </w:r>
    </w:p>
    <w:p w14:paraId="2D15A232" w14:textId="77777777" w:rsidR="000D6BD4" w:rsidRPr="0007159F" w:rsidRDefault="000D6BD4" w:rsidP="000D6BD4">
      <w:pPr>
        <w:pStyle w:val="References"/>
        <w:rPr>
          <w:rFonts w:ascii="Times" w:hAnsi="Times"/>
          <w:sz w:val="20"/>
        </w:rPr>
      </w:pPr>
      <w:r w:rsidRPr="0007159F">
        <w:rPr>
          <w:rFonts w:ascii="Times" w:hAnsi="Times" w:cs="Arial"/>
          <w:color w:val="222222"/>
          <w:sz w:val="20"/>
          <w:shd w:val="clear" w:color="auto" w:fill="FFFFFF"/>
        </w:rPr>
        <w:t>Kim, S., et al. "Semeval-2010 task 5: Automatic keyphrase extraction from scientific art</w:t>
      </w:r>
      <w:r w:rsidRPr="0007159F">
        <w:rPr>
          <w:rFonts w:ascii="Times" w:hAnsi="Times" w:cs="Arial"/>
          <w:color w:val="222222"/>
          <w:sz w:val="20"/>
          <w:shd w:val="clear" w:color="auto" w:fill="FFFFFF"/>
        </w:rPr>
        <w:t>i</w:t>
      </w:r>
      <w:r w:rsidRPr="0007159F">
        <w:rPr>
          <w:rFonts w:ascii="Times" w:hAnsi="Times" w:cs="Arial"/>
          <w:color w:val="222222"/>
          <w:sz w:val="20"/>
          <w:shd w:val="clear" w:color="auto" w:fill="FFFFFF"/>
        </w:rPr>
        <w:t>cles." </w:t>
      </w:r>
      <w:r w:rsidRPr="0007159F">
        <w:rPr>
          <w:rFonts w:ascii="Times" w:hAnsi="Times" w:cs="Arial"/>
          <w:i/>
          <w:iCs/>
          <w:color w:val="222222"/>
          <w:sz w:val="20"/>
          <w:shd w:val="clear" w:color="auto" w:fill="FFFFFF"/>
        </w:rPr>
        <w:t>Proceedings of the 5th International Workshop on Semantic Evaluation</w:t>
      </w:r>
      <w:r w:rsidRPr="0007159F">
        <w:rPr>
          <w:rFonts w:ascii="Times" w:hAnsi="Times" w:cs="Arial"/>
          <w:color w:val="222222"/>
          <w:sz w:val="20"/>
          <w:shd w:val="clear" w:color="auto" w:fill="FFFFFF"/>
        </w:rPr>
        <w:t>. Association for Computational Linguistics, 2010.</w:t>
      </w:r>
    </w:p>
    <w:p w14:paraId="31FC1134" w14:textId="77777777" w:rsidR="000D6BD4" w:rsidRPr="0007159F" w:rsidRDefault="000D6BD4" w:rsidP="000D6BD4">
      <w:pPr>
        <w:pStyle w:val="References"/>
        <w:rPr>
          <w:rFonts w:ascii="Times" w:hAnsi="Times"/>
          <w:sz w:val="20"/>
        </w:rPr>
      </w:pPr>
      <w:r w:rsidRPr="0007159F">
        <w:rPr>
          <w:sz w:val="20"/>
          <w:shd w:val="clear" w:color="auto" w:fill="FFFFFF"/>
        </w:rPr>
        <w:t>Kwok, K. "A new method of weighting query terms for ad-hoc retrieval." Proceedings of the 19th annual international ACM SIGIR conference on Research and d</w:t>
      </w:r>
      <w:r w:rsidRPr="0007159F">
        <w:rPr>
          <w:sz w:val="20"/>
          <w:shd w:val="clear" w:color="auto" w:fill="FFFFFF"/>
        </w:rPr>
        <w:t>e</w:t>
      </w:r>
      <w:r w:rsidRPr="0007159F">
        <w:rPr>
          <w:sz w:val="20"/>
          <w:shd w:val="clear" w:color="auto" w:fill="FFFFFF"/>
        </w:rPr>
        <w:t>velopment in information retrieval. ACM, 1996.</w:t>
      </w:r>
    </w:p>
    <w:p w14:paraId="2E2CD2A1" w14:textId="77777777" w:rsidR="000D6BD4" w:rsidRPr="0007159F" w:rsidRDefault="000D6BD4" w:rsidP="000D6BD4">
      <w:pPr>
        <w:pStyle w:val="References"/>
        <w:rPr>
          <w:rFonts w:ascii="Times" w:hAnsi="Times"/>
          <w:sz w:val="20"/>
        </w:rPr>
      </w:pPr>
      <w:r w:rsidRPr="0007159F">
        <w:rPr>
          <w:sz w:val="20"/>
          <w:shd w:val="clear" w:color="auto" w:fill="FFFFFF"/>
        </w:rPr>
        <w:t>Kim, S. N., Medelyan, O., Kan, M. Y., &amp; Baldwin, T. 2010. Semeval-2010 task 5: Automatic keyphrase extraction from scientific articles. In</w:t>
      </w:r>
      <w:r w:rsidRPr="0007159F">
        <w:rPr>
          <w:i/>
          <w:iCs/>
          <w:sz w:val="20"/>
          <w:shd w:val="clear" w:color="auto" w:fill="FFFFFF"/>
        </w:rPr>
        <w:t>Proceedings of the 5th International Workshop on Semantic Evalu</w:t>
      </w:r>
      <w:r w:rsidRPr="0007159F">
        <w:rPr>
          <w:i/>
          <w:iCs/>
          <w:sz w:val="20"/>
          <w:shd w:val="clear" w:color="auto" w:fill="FFFFFF"/>
        </w:rPr>
        <w:t>a</w:t>
      </w:r>
      <w:r w:rsidRPr="0007159F">
        <w:rPr>
          <w:i/>
          <w:iCs/>
          <w:sz w:val="20"/>
          <w:shd w:val="clear" w:color="auto" w:fill="FFFFFF"/>
        </w:rPr>
        <w:t>tion</w:t>
      </w:r>
      <w:r w:rsidRPr="0007159F">
        <w:rPr>
          <w:sz w:val="20"/>
          <w:shd w:val="clear" w:color="auto" w:fill="FFFFFF"/>
        </w:rPr>
        <w:t> (pp. 21-26). Association for Computational Li</w:t>
      </w:r>
      <w:r w:rsidRPr="0007159F">
        <w:rPr>
          <w:sz w:val="20"/>
          <w:shd w:val="clear" w:color="auto" w:fill="FFFFFF"/>
        </w:rPr>
        <w:t>n</w:t>
      </w:r>
      <w:r w:rsidRPr="0007159F">
        <w:rPr>
          <w:sz w:val="20"/>
          <w:shd w:val="clear" w:color="auto" w:fill="FFFFFF"/>
        </w:rPr>
        <w:t>guistics.</w:t>
      </w:r>
    </w:p>
    <w:p w14:paraId="0899430F" w14:textId="77777777" w:rsidR="000D6BD4" w:rsidRPr="0007159F" w:rsidRDefault="000D6BD4" w:rsidP="000D6BD4">
      <w:pPr>
        <w:pStyle w:val="References"/>
        <w:rPr>
          <w:rFonts w:ascii="Times" w:hAnsi="Times"/>
          <w:sz w:val="20"/>
        </w:rPr>
      </w:pPr>
      <w:r w:rsidRPr="0007159F">
        <w:rPr>
          <w:sz w:val="20"/>
          <w:shd w:val="clear" w:color="auto" w:fill="FFFFFF"/>
        </w:rPr>
        <w:t>Liu, F., Pennell, D., Liu, F., &amp; Liu, Y. 2009. Unsupervised approaches for automatic keyword extraction using meeting transcripts. In </w:t>
      </w:r>
      <w:r w:rsidRPr="0007159F">
        <w:rPr>
          <w:i/>
          <w:iCs/>
          <w:sz w:val="20"/>
          <w:shd w:val="clear" w:color="auto" w:fill="FFFFFF"/>
        </w:rPr>
        <w:t>Proceedings of human language technologies: The 2009 annual conference of the North American chapter of the association for comp</w:t>
      </w:r>
      <w:r w:rsidRPr="0007159F">
        <w:rPr>
          <w:i/>
          <w:iCs/>
          <w:sz w:val="20"/>
          <w:shd w:val="clear" w:color="auto" w:fill="FFFFFF"/>
        </w:rPr>
        <w:t>u</w:t>
      </w:r>
      <w:r w:rsidRPr="0007159F">
        <w:rPr>
          <w:i/>
          <w:iCs/>
          <w:sz w:val="20"/>
          <w:shd w:val="clear" w:color="auto" w:fill="FFFFFF"/>
        </w:rPr>
        <w:t>tational linguistics</w:t>
      </w:r>
      <w:r w:rsidRPr="0007159F">
        <w:rPr>
          <w:sz w:val="20"/>
          <w:shd w:val="clear" w:color="auto" w:fill="FFFFFF"/>
        </w:rPr>
        <w:t> (pp. 620-628). Association for Computational Linguistics.</w:t>
      </w:r>
    </w:p>
    <w:p w14:paraId="7AAE3E62" w14:textId="77777777" w:rsidR="000D6BD4" w:rsidRPr="0007159F" w:rsidRDefault="000D6BD4" w:rsidP="000D6BD4">
      <w:pPr>
        <w:pStyle w:val="References"/>
        <w:rPr>
          <w:rFonts w:ascii="Times" w:hAnsi="Times"/>
          <w:sz w:val="20"/>
        </w:rPr>
      </w:pPr>
      <w:r w:rsidRPr="0007159F">
        <w:rPr>
          <w:sz w:val="20"/>
          <w:shd w:val="clear" w:color="auto" w:fill="FFFFFF"/>
        </w:rPr>
        <w:t xml:space="preserve">Liu, Y., Ciliax, B. J., Borges, K., Dasigi, V., Ram, A., Navathe, S. B., &amp; Dingledine, R. 2004. Comparison of two schemes for automatic keyword extraction from MEDLINE for functional gene clustering. In </w:t>
      </w:r>
      <w:r w:rsidRPr="0007159F">
        <w:rPr>
          <w:i/>
          <w:iCs/>
          <w:sz w:val="20"/>
          <w:shd w:val="clear" w:color="auto" w:fill="FFFFFF"/>
        </w:rPr>
        <w:t>Co</w:t>
      </w:r>
      <w:r w:rsidRPr="0007159F">
        <w:rPr>
          <w:i/>
          <w:iCs/>
          <w:sz w:val="20"/>
          <w:shd w:val="clear" w:color="auto" w:fill="FFFFFF"/>
        </w:rPr>
        <w:t>m</w:t>
      </w:r>
      <w:r w:rsidRPr="0007159F">
        <w:rPr>
          <w:i/>
          <w:iCs/>
          <w:sz w:val="20"/>
          <w:shd w:val="clear" w:color="auto" w:fill="FFFFFF"/>
        </w:rPr>
        <w:t>putational Systems Bioinformatics Conference, 2004. CSB 2004. Proceedings. 2004 IEEE</w:t>
      </w:r>
      <w:r w:rsidRPr="0007159F">
        <w:rPr>
          <w:sz w:val="20"/>
          <w:shd w:val="clear" w:color="auto" w:fill="FFFFFF"/>
        </w:rPr>
        <w:t> (pp. 394-404). IEEE.</w:t>
      </w:r>
    </w:p>
    <w:p w14:paraId="099C2EB0" w14:textId="77777777" w:rsidR="000D6BD4" w:rsidRPr="0007159F" w:rsidRDefault="000D6BD4" w:rsidP="000D6BD4">
      <w:pPr>
        <w:pStyle w:val="References"/>
        <w:rPr>
          <w:rFonts w:ascii="Times" w:hAnsi="Times"/>
          <w:sz w:val="20"/>
        </w:rPr>
      </w:pPr>
      <w:r w:rsidRPr="0007159F">
        <w:rPr>
          <w:sz w:val="20"/>
          <w:shd w:val="clear" w:color="auto" w:fill="FFFFFF"/>
        </w:rPr>
        <w:t>Lops, P., de Gemmis, M., &amp; Semeraro, G. 2011. Content-based recommender systems: State of the art and trends. In </w:t>
      </w:r>
      <w:r w:rsidRPr="0007159F">
        <w:rPr>
          <w:i/>
          <w:iCs/>
          <w:sz w:val="20"/>
          <w:shd w:val="clear" w:color="auto" w:fill="FFFFFF"/>
        </w:rPr>
        <w:t>Recommender Systems Handbook</w:t>
      </w:r>
      <w:r w:rsidRPr="0007159F">
        <w:rPr>
          <w:sz w:val="20"/>
          <w:shd w:val="clear" w:color="auto" w:fill="FFFFFF"/>
        </w:rPr>
        <w:t> (pp. 73-105). Springer US.</w:t>
      </w:r>
    </w:p>
    <w:p w14:paraId="47B7DDCB" w14:textId="77777777" w:rsidR="000D6BD4" w:rsidRPr="0007159F" w:rsidRDefault="000D6BD4" w:rsidP="000D6BD4">
      <w:pPr>
        <w:pStyle w:val="References"/>
        <w:rPr>
          <w:rFonts w:ascii="Times" w:hAnsi="Times"/>
          <w:sz w:val="20"/>
        </w:rPr>
      </w:pPr>
      <w:r w:rsidRPr="0007159F">
        <w:rPr>
          <w:sz w:val="20"/>
          <w:shd w:val="clear" w:color="auto" w:fill="FFFFFF"/>
        </w:rPr>
        <w:t>Medelyan, O., Frank, E., &amp; Witten, I. H. 2009. Human-competitive tagging using automatic keyphrase e</w:t>
      </w:r>
      <w:r w:rsidRPr="0007159F">
        <w:rPr>
          <w:sz w:val="20"/>
          <w:shd w:val="clear" w:color="auto" w:fill="FFFFFF"/>
        </w:rPr>
        <w:t>x</w:t>
      </w:r>
      <w:r w:rsidRPr="0007159F">
        <w:rPr>
          <w:sz w:val="20"/>
          <w:shd w:val="clear" w:color="auto" w:fill="FFFFFF"/>
        </w:rPr>
        <w:t>traction. In </w:t>
      </w:r>
      <w:r w:rsidRPr="0007159F">
        <w:rPr>
          <w:i/>
          <w:iCs/>
          <w:sz w:val="20"/>
          <w:shd w:val="clear" w:color="auto" w:fill="FFFFFF"/>
        </w:rPr>
        <w:t>Proceedings of the 2009 Conference on Empirical Methods in Natural Language Processing: Volume 3-Volume 3</w:t>
      </w:r>
      <w:r w:rsidRPr="0007159F">
        <w:rPr>
          <w:sz w:val="20"/>
          <w:shd w:val="clear" w:color="auto" w:fill="FFFFFF"/>
        </w:rPr>
        <w:t> (pp. 1318-1327). Association for Comp</w:t>
      </w:r>
      <w:r w:rsidRPr="0007159F">
        <w:rPr>
          <w:sz w:val="20"/>
          <w:shd w:val="clear" w:color="auto" w:fill="FFFFFF"/>
        </w:rPr>
        <w:t>u</w:t>
      </w:r>
      <w:r w:rsidRPr="0007159F">
        <w:rPr>
          <w:sz w:val="20"/>
          <w:shd w:val="clear" w:color="auto" w:fill="FFFFFF"/>
        </w:rPr>
        <w:t xml:space="preserve">tational Linguistics. </w:t>
      </w:r>
    </w:p>
    <w:p w14:paraId="73C49600" w14:textId="77777777" w:rsidR="000D6BD4" w:rsidRPr="0007159F" w:rsidRDefault="000D6BD4" w:rsidP="000D6BD4">
      <w:pPr>
        <w:pStyle w:val="References"/>
        <w:rPr>
          <w:rFonts w:ascii="Times" w:hAnsi="Times"/>
          <w:sz w:val="20"/>
        </w:rPr>
      </w:pPr>
      <w:r w:rsidRPr="0007159F">
        <w:rPr>
          <w:rFonts w:ascii="Times" w:hAnsi="Times" w:cs="Arial"/>
          <w:color w:val="222222"/>
          <w:sz w:val="20"/>
          <w:shd w:val="clear" w:color="auto" w:fill="FFFFFF"/>
        </w:rPr>
        <w:t>Mihalcea R., and Paul T. "TextRank: Bringing order into texts."</w:t>
      </w:r>
      <w:r w:rsidRPr="0007159F">
        <w:rPr>
          <w:rFonts w:ascii="Times" w:hAnsi="Times" w:cs="Arial"/>
          <w:i/>
          <w:iCs/>
          <w:color w:val="222222"/>
          <w:sz w:val="20"/>
          <w:shd w:val="clear" w:color="auto" w:fill="FFFFFF"/>
        </w:rPr>
        <w:t>Proceedings of EMNLP</w:t>
      </w:r>
      <w:r w:rsidRPr="0007159F">
        <w:rPr>
          <w:rFonts w:ascii="Times" w:hAnsi="Times" w:cs="Arial"/>
          <w:color w:val="222222"/>
          <w:sz w:val="20"/>
          <w:shd w:val="clear" w:color="auto" w:fill="FFFFFF"/>
        </w:rPr>
        <w:t>. Vol. 4. No. 4. 2004.</w:t>
      </w:r>
    </w:p>
    <w:p w14:paraId="57BB755C" w14:textId="77777777" w:rsidR="000D6BD4" w:rsidRPr="0007159F" w:rsidRDefault="000D6BD4" w:rsidP="000D6BD4">
      <w:pPr>
        <w:pStyle w:val="References"/>
        <w:rPr>
          <w:rFonts w:ascii="Times" w:hAnsi="Times"/>
          <w:sz w:val="20"/>
        </w:rPr>
      </w:pPr>
      <w:r w:rsidRPr="0007159F">
        <w:rPr>
          <w:rFonts w:ascii="Times" w:hAnsi="Times" w:cs="Arial"/>
          <w:color w:val="222222"/>
          <w:sz w:val="20"/>
          <w:shd w:val="clear" w:color="auto" w:fill="FFFFFF"/>
        </w:rPr>
        <w:t>Paik, J. "A novel TF-IDF weighting scheme for effe</w:t>
      </w:r>
      <w:r w:rsidRPr="0007159F">
        <w:rPr>
          <w:rFonts w:ascii="Times" w:hAnsi="Times" w:cs="Arial"/>
          <w:color w:val="222222"/>
          <w:sz w:val="20"/>
          <w:shd w:val="clear" w:color="auto" w:fill="FFFFFF"/>
        </w:rPr>
        <w:t>c</w:t>
      </w:r>
      <w:r w:rsidRPr="0007159F">
        <w:rPr>
          <w:rFonts w:ascii="Times" w:hAnsi="Times" w:cs="Arial"/>
          <w:color w:val="222222"/>
          <w:sz w:val="20"/>
          <w:shd w:val="clear" w:color="auto" w:fill="FFFFFF"/>
        </w:rPr>
        <w:t>tive ranking."</w:t>
      </w:r>
      <w:r w:rsidRPr="0007159F">
        <w:rPr>
          <w:rFonts w:ascii="Times" w:hAnsi="Times" w:cs="Arial"/>
          <w:i/>
          <w:iCs/>
          <w:color w:val="222222"/>
          <w:sz w:val="20"/>
          <w:shd w:val="clear" w:color="auto" w:fill="FFFFFF"/>
        </w:rPr>
        <w:t>Proceedings of the 36th international ACM SIGIR conference on Research and development in information retrieval</w:t>
      </w:r>
      <w:r w:rsidRPr="0007159F">
        <w:rPr>
          <w:rFonts w:ascii="Times" w:hAnsi="Times" w:cs="Arial"/>
          <w:color w:val="222222"/>
          <w:sz w:val="20"/>
          <w:shd w:val="clear" w:color="auto" w:fill="FFFFFF"/>
        </w:rPr>
        <w:t>. ACM, 2013.</w:t>
      </w:r>
    </w:p>
    <w:p w14:paraId="4D9231E6" w14:textId="77777777" w:rsidR="000D6BD4" w:rsidRPr="0007159F" w:rsidRDefault="000D6BD4" w:rsidP="000D6BD4">
      <w:pPr>
        <w:pStyle w:val="References"/>
        <w:rPr>
          <w:rFonts w:ascii="Times" w:hAnsi="Times"/>
          <w:sz w:val="20"/>
        </w:rPr>
      </w:pPr>
      <w:r w:rsidRPr="0007159F">
        <w:rPr>
          <w:sz w:val="20"/>
          <w:shd w:val="clear" w:color="auto" w:fill="FFFFFF"/>
        </w:rPr>
        <w:lastRenderedPageBreak/>
        <w:t>Robertson, S. 2004. Understanding inverse document frequency: on theoretical arguments for IDF. </w:t>
      </w:r>
      <w:r w:rsidRPr="0007159F">
        <w:rPr>
          <w:i/>
          <w:iCs/>
          <w:sz w:val="20"/>
          <w:shd w:val="clear" w:color="auto" w:fill="FFFFFF"/>
        </w:rPr>
        <w:t>Journal of docume</w:t>
      </w:r>
      <w:r w:rsidRPr="0007159F">
        <w:rPr>
          <w:i/>
          <w:iCs/>
          <w:sz w:val="20"/>
          <w:shd w:val="clear" w:color="auto" w:fill="FFFFFF"/>
        </w:rPr>
        <w:t>n</w:t>
      </w:r>
      <w:r w:rsidRPr="0007159F">
        <w:rPr>
          <w:i/>
          <w:iCs/>
          <w:sz w:val="20"/>
          <w:shd w:val="clear" w:color="auto" w:fill="FFFFFF"/>
        </w:rPr>
        <w:t>tation</w:t>
      </w:r>
      <w:r w:rsidRPr="0007159F">
        <w:rPr>
          <w:sz w:val="20"/>
          <w:shd w:val="clear" w:color="auto" w:fill="FFFFFF"/>
        </w:rPr>
        <w:t>, </w:t>
      </w:r>
      <w:r w:rsidRPr="0007159F">
        <w:rPr>
          <w:i/>
          <w:iCs/>
          <w:sz w:val="20"/>
          <w:shd w:val="clear" w:color="auto" w:fill="FFFFFF"/>
        </w:rPr>
        <w:t>60</w:t>
      </w:r>
      <w:r w:rsidRPr="0007159F">
        <w:rPr>
          <w:sz w:val="20"/>
          <w:shd w:val="clear" w:color="auto" w:fill="FFFFFF"/>
        </w:rPr>
        <w:t>(5), 503-520.</w:t>
      </w:r>
    </w:p>
    <w:p w14:paraId="7C911879" w14:textId="77777777" w:rsidR="000D6BD4" w:rsidRPr="0007159F" w:rsidRDefault="000D6BD4" w:rsidP="000D6BD4">
      <w:pPr>
        <w:pStyle w:val="References"/>
        <w:rPr>
          <w:rFonts w:ascii="Times" w:hAnsi="Times"/>
          <w:sz w:val="20"/>
        </w:rPr>
      </w:pPr>
      <w:r w:rsidRPr="0007159F">
        <w:rPr>
          <w:rFonts w:ascii="Times" w:hAnsi="Times" w:cs="Arial"/>
          <w:color w:val="222222"/>
          <w:sz w:val="20"/>
          <w:shd w:val="clear" w:color="auto" w:fill="FFFFFF"/>
        </w:rPr>
        <w:t>Salton, G., Anita W. and Chung-Shu Y. "A vector space model for automatic indexing." </w:t>
      </w:r>
      <w:r w:rsidRPr="0007159F">
        <w:rPr>
          <w:rFonts w:ascii="Times" w:hAnsi="Times" w:cs="Arial"/>
          <w:i/>
          <w:iCs/>
          <w:color w:val="222222"/>
          <w:sz w:val="20"/>
          <w:shd w:val="clear" w:color="auto" w:fill="FFFFFF"/>
        </w:rPr>
        <w:t>Communications of the ACM</w:t>
      </w:r>
      <w:r w:rsidRPr="0007159F">
        <w:rPr>
          <w:rFonts w:ascii="Times" w:hAnsi="Times" w:cs="Arial"/>
          <w:color w:val="222222"/>
          <w:sz w:val="20"/>
          <w:shd w:val="clear" w:color="auto" w:fill="FFFFFF"/>
        </w:rPr>
        <w:t> 18.11 (1975): 613-620.</w:t>
      </w:r>
    </w:p>
    <w:p w14:paraId="6564C494" w14:textId="0AF614A0" w:rsidR="000D6BD4" w:rsidRPr="0007159F" w:rsidRDefault="00D3696C" w:rsidP="00D3696C">
      <w:pPr>
        <w:pStyle w:val="References"/>
        <w:rPr>
          <w:rFonts w:ascii="Times" w:hAnsi="Times"/>
          <w:sz w:val="20"/>
        </w:rPr>
      </w:pPr>
      <w:r w:rsidRPr="0007159F">
        <w:rPr>
          <w:sz w:val="20"/>
          <w:shd w:val="clear" w:color="auto" w:fill="FFFFFF"/>
        </w:rPr>
        <w:t>Salton, G., &amp; Lesk, M. E. 1968. Computer evaluation of indexing and text processing. </w:t>
      </w:r>
      <w:r w:rsidRPr="0007159F">
        <w:rPr>
          <w:i/>
          <w:iCs/>
          <w:sz w:val="20"/>
          <w:shd w:val="clear" w:color="auto" w:fill="FFFFFF"/>
        </w:rPr>
        <w:t>Journal of the ACM (JACM)</w:t>
      </w:r>
      <w:r w:rsidRPr="0007159F">
        <w:rPr>
          <w:sz w:val="20"/>
          <w:shd w:val="clear" w:color="auto" w:fill="FFFFFF"/>
        </w:rPr>
        <w:t>, </w:t>
      </w:r>
      <w:r w:rsidRPr="0007159F">
        <w:rPr>
          <w:i/>
          <w:iCs/>
          <w:sz w:val="20"/>
          <w:shd w:val="clear" w:color="auto" w:fill="FFFFFF"/>
        </w:rPr>
        <w:t>15</w:t>
      </w:r>
      <w:r w:rsidRPr="0007159F">
        <w:rPr>
          <w:sz w:val="20"/>
          <w:shd w:val="clear" w:color="auto" w:fill="FFFFFF"/>
        </w:rPr>
        <w:t>(1), 8-36.</w:t>
      </w:r>
    </w:p>
    <w:p w14:paraId="65D64DE3" w14:textId="77777777" w:rsidR="000D6BD4" w:rsidRPr="0007159F" w:rsidRDefault="000D6BD4" w:rsidP="000D6BD4">
      <w:pPr>
        <w:pStyle w:val="References"/>
        <w:rPr>
          <w:rFonts w:ascii="Times" w:hAnsi="Times"/>
          <w:sz w:val="20"/>
        </w:rPr>
      </w:pPr>
      <w:r w:rsidRPr="0007159F">
        <w:rPr>
          <w:rFonts w:ascii="Times" w:hAnsi="Times" w:cs="Arial"/>
          <w:color w:val="222222"/>
          <w:sz w:val="20"/>
          <w:shd w:val="clear" w:color="auto" w:fill="FFFFFF"/>
        </w:rPr>
        <w:t>Tian, X. and Wang T. "An improvement to TF: Term Distribution based Term Weight Alg</w:t>
      </w:r>
      <w:r w:rsidRPr="0007159F">
        <w:rPr>
          <w:rFonts w:ascii="Times" w:hAnsi="Times" w:cs="Arial"/>
          <w:color w:val="222222"/>
          <w:sz w:val="20"/>
          <w:shd w:val="clear" w:color="auto" w:fill="FFFFFF"/>
        </w:rPr>
        <w:t>o</w:t>
      </w:r>
      <w:r w:rsidRPr="0007159F">
        <w:rPr>
          <w:rFonts w:ascii="Times" w:hAnsi="Times" w:cs="Arial"/>
          <w:color w:val="222222"/>
          <w:sz w:val="20"/>
          <w:shd w:val="clear" w:color="auto" w:fill="FFFFFF"/>
        </w:rPr>
        <w:t>rithm." </w:t>
      </w:r>
      <w:r w:rsidRPr="0007159F">
        <w:rPr>
          <w:rFonts w:ascii="Times" w:hAnsi="Times" w:cs="Arial"/>
          <w:i/>
          <w:iCs/>
          <w:color w:val="222222"/>
          <w:sz w:val="20"/>
          <w:shd w:val="clear" w:color="auto" w:fill="FFFFFF"/>
        </w:rPr>
        <w:t>Networks Security Wireless Communications and Trusted Co</w:t>
      </w:r>
      <w:r w:rsidRPr="0007159F">
        <w:rPr>
          <w:rFonts w:ascii="Times" w:hAnsi="Times" w:cs="Arial"/>
          <w:i/>
          <w:iCs/>
          <w:color w:val="222222"/>
          <w:sz w:val="20"/>
          <w:shd w:val="clear" w:color="auto" w:fill="FFFFFF"/>
        </w:rPr>
        <w:t>m</w:t>
      </w:r>
      <w:r w:rsidRPr="0007159F">
        <w:rPr>
          <w:rFonts w:ascii="Times" w:hAnsi="Times" w:cs="Arial"/>
          <w:i/>
          <w:iCs/>
          <w:color w:val="222222"/>
          <w:sz w:val="20"/>
          <w:shd w:val="clear" w:color="auto" w:fill="FFFFFF"/>
        </w:rPr>
        <w:t>puting (NSWCTC)</w:t>
      </w:r>
    </w:p>
    <w:p w14:paraId="6976DB6C" w14:textId="77777777" w:rsidR="000D6BD4" w:rsidRPr="0007159F" w:rsidRDefault="000D6BD4" w:rsidP="000D6BD4">
      <w:pPr>
        <w:pStyle w:val="References"/>
        <w:rPr>
          <w:rFonts w:ascii="Times" w:hAnsi="Times"/>
          <w:sz w:val="20"/>
        </w:rPr>
      </w:pPr>
      <w:r w:rsidRPr="0007159F">
        <w:rPr>
          <w:sz w:val="20"/>
          <w:shd w:val="clear" w:color="auto" w:fill="FFFFFF"/>
        </w:rPr>
        <w:t xml:space="preserve">Tonella, P., Ricca, F., Pianta, E., &amp; Girardi, C. </w:t>
      </w:r>
      <w:r w:rsidRPr="0007159F">
        <w:rPr>
          <w:sz w:val="20"/>
        </w:rPr>
        <w:t xml:space="preserve">2003. </w:t>
      </w:r>
      <w:r w:rsidRPr="0007159F">
        <w:rPr>
          <w:sz w:val="20"/>
          <w:shd w:val="clear" w:color="auto" w:fill="FFFFFF"/>
        </w:rPr>
        <w:t>Using keyword extraction for web site clustering. In </w:t>
      </w:r>
      <w:r w:rsidRPr="0007159F">
        <w:rPr>
          <w:i/>
          <w:iCs/>
          <w:sz w:val="20"/>
          <w:shd w:val="clear" w:color="auto" w:fill="FFFFFF"/>
        </w:rPr>
        <w:t>Web Site Ev</w:t>
      </w:r>
      <w:r w:rsidRPr="0007159F">
        <w:rPr>
          <w:i/>
          <w:iCs/>
          <w:sz w:val="20"/>
          <w:shd w:val="clear" w:color="auto" w:fill="FFFFFF"/>
        </w:rPr>
        <w:t>o</w:t>
      </w:r>
      <w:r w:rsidRPr="0007159F">
        <w:rPr>
          <w:i/>
          <w:iCs/>
          <w:sz w:val="20"/>
          <w:shd w:val="clear" w:color="auto" w:fill="FFFFFF"/>
        </w:rPr>
        <w:t>lution, 2003. Theme: Architecture. Proceedings. Fifth IEEE International Workshop on</w:t>
      </w:r>
      <w:r w:rsidRPr="0007159F">
        <w:rPr>
          <w:sz w:val="20"/>
          <w:shd w:val="clear" w:color="auto" w:fill="FFFFFF"/>
        </w:rPr>
        <w:t> (pp. 41-48). IEEE.</w:t>
      </w:r>
    </w:p>
    <w:p w14:paraId="0FCCB5E6" w14:textId="77777777" w:rsidR="000D6BD4" w:rsidRPr="0007159F" w:rsidRDefault="000D6BD4" w:rsidP="000D6BD4">
      <w:pPr>
        <w:pStyle w:val="References"/>
        <w:rPr>
          <w:rFonts w:ascii="Times" w:hAnsi="Times"/>
          <w:sz w:val="20"/>
        </w:rPr>
      </w:pPr>
      <w:r w:rsidRPr="0007159F">
        <w:rPr>
          <w:rFonts w:ascii="Times" w:hAnsi="Times" w:cs="Arial"/>
          <w:color w:val="222222"/>
          <w:sz w:val="20"/>
          <w:shd w:val="clear" w:color="auto" w:fill="FFFFFF"/>
        </w:rPr>
        <w:t>Wartena, C., Rogier B. and Wout S. "Keyword extra</w:t>
      </w:r>
      <w:r w:rsidRPr="0007159F">
        <w:rPr>
          <w:rFonts w:ascii="Times" w:hAnsi="Times" w:cs="Arial"/>
          <w:color w:val="222222"/>
          <w:sz w:val="20"/>
          <w:shd w:val="clear" w:color="auto" w:fill="FFFFFF"/>
        </w:rPr>
        <w:t>c</w:t>
      </w:r>
      <w:r w:rsidRPr="0007159F">
        <w:rPr>
          <w:rFonts w:ascii="Times" w:hAnsi="Times" w:cs="Arial"/>
          <w:color w:val="222222"/>
          <w:sz w:val="20"/>
          <w:shd w:val="clear" w:color="auto" w:fill="FFFFFF"/>
        </w:rPr>
        <w:t>tion using word co-occurrence." </w:t>
      </w:r>
      <w:r w:rsidRPr="0007159F">
        <w:rPr>
          <w:rFonts w:ascii="Times" w:hAnsi="Times" w:cs="Arial"/>
          <w:i/>
          <w:iCs/>
          <w:color w:val="222222"/>
          <w:sz w:val="20"/>
          <w:shd w:val="clear" w:color="auto" w:fill="FFFFFF"/>
        </w:rPr>
        <w:t>Database and Expert Systems Applications (DEXA), 2010 Workshop on</w:t>
      </w:r>
      <w:r w:rsidRPr="0007159F">
        <w:rPr>
          <w:rFonts w:ascii="Times" w:hAnsi="Times" w:cs="Arial"/>
          <w:color w:val="222222"/>
          <w:sz w:val="20"/>
          <w:shd w:val="clear" w:color="auto" w:fill="FFFFFF"/>
        </w:rPr>
        <w:t>. IEEE, 2010.</w:t>
      </w:r>
    </w:p>
    <w:p w14:paraId="3B6AEF1A" w14:textId="77777777" w:rsidR="000D6BD4" w:rsidRPr="0007159F" w:rsidRDefault="000D6BD4" w:rsidP="000D6BD4">
      <w:pPr>
        <w:pStyle w:val="References"/>
        <w:rPr>
          <w:rFonts w:ascii="Times" w:hAnsi="Times"/>
          <w:sz w:val="20"/>
        </w:rPr>
      </w:pPr>
      <w:r w:rsidRPr="0007159F">
        <w:rPr>
          <w:sz w:val="20"/>
          <w:shd w:val="clear" w:color="auto" w:fill="FFFFFF"/>
        </w:rPr>
        <w:t>Wu, X., &amp; Bolivar, A. 2008. Keyword extraction for contextual advertisement. In </w:t>
      </w:r>
      <w:r w:rsidRPr="0007159F">
        <w:rPr>
          <w:i/>
          <w:iCs/>
          <w:sz w:val="20"/>
          <w:shd w:val="clear" w:color="auto" w:fill="FFFFFF"/>
        </w:rPr>
        <w:t>Proceedings of the 17th international conference on World Wide Web</w:t>
      </w:r>
      <w:r w:rsidRPr="0007159F">
        <w:rPr>
          <w:sz w:val="20"/>
          <w:shd w:val="clear" w:color="auto" w:fill="FFFFFF"/>
        </w:rPr>
        <w:t> (pp. 1195-1196). ACM</w:t>
      </w:r>
    </w:p>
    <w:p w14:paraId="10639B47" w14:textId="77777777" w:rsidR="000D6BD4" w:rsidRPr="0007159F" w:rsidRDefault="000D6BD4" w:rsidP="000D6BD4">
      <w:pPr>
        <w:pStyle w:val="References"/>
        <w:rPr>
          <w:rFonts w:ascii="Times" w:hAnsi="Times"/>
          <w:sz w:val="20"/>
        </w:rPr>
      </w:pPr>
      <w:r w:rsidRPr="0007159F">
        <w:rPr>
          <w:sz w:val="20"/>
          <w:shd w:val="clear" w:color="auto" w:fill="FFFFFF"/>
        </w:rPr>
        <w:t>Lopez, P., &amp; Romary, L. 2010 . HUMB: Automatic key term extraction from scientific articles in GROBID. In </w:t>
      </w:r>
      <w:r w:rsidRPr="0007159F">
        <w:rPr>
          <w:i/>
          <w:iCs/>
          <w:sz w:val="20"/>
          <w:shd w:val="clear" w:color="auto" w:fill="FFFFFF"/>
        </w:rPr>
        <w:t>Proceedings of the 5th international workshop on semantic evaluation</w:t>
      </w:r>
      <w:r w:rsidRPr="0007159F">
        <w:rPr>
          <w:sz w:val="20"/>
          <w:shd w:val="clear" w:color="auto" w:fill="FFFFFF"/>
        </w:rPr>
        <w:t> (pp. 248-251). Association for Computational Linguistics.</w:t>
      </w:r>
    </w:p>
    <w:p w14:paraId="5848BCAC" w14:textId="77777777" w:rsidR="000D6BD4" w:rsidRPr="0007159F" w:rsidRDefault="000D6BD4" w:rsidP="000D6BD4">
      <w:pPr>
        <w:pStyle w:val="References"/>
        <w:rPr>
          <w:rFonts w:ascii="Times" w:hAnsi="Times"/>
          <w:sz w:val="20"/>
        </w:rPr>
      </w:pPr>
      <w:r w:rsidRPr="0007159F">
        <w:rPr>
          <w:sz w:val="20"/>
          <w:shd w:val="clear" w:color="auto" w:fill="FFFFFF"/>
        </w:rPr>
        <w:t>Liu, S. W., &amp; Chang, H. T. 2013. A topic detection and tracking system with TF-Density. In </w:t>
      </w:r>
      <w:r w:rsidRPr="0007159F">
        <w:rPr>
          <w:i/>
          <w:iCs/>
          <w:sz w:val="20"/>
          <w:shd w:val="clear" w:color="auto" w:fill="FFFFFF"/>
        </w:rPr>
        <w:t>Recent Pr</w:t>
      </w:r>
      <w:r w:rsidRPr="0007159F">
        <w:rPr>
          <w:i/>
          <w:iCs/>
          <w:sz w:val="20"/>
          <w:shd w:val="clear" w:color="auto" w:fill="FFFFFF"/>
        </w:rPr>
        <w:t>o</w:t>
      </w:r>
      <w:r w:rsidRPr="0007159F">
        <w:rPr>
          <w:i/>
          <w:iCs/>
          <w:sz w:val="20"/>
          <w:shd w:val="clear" w:color="auto" w:fill="FFFFFF"/>
        </w:rPr>
        <w:t>gress in Data Engineering and Internet Technology</w:t>
      </w:r>
      <w:r w:rsidRPr="0007159F">
        <w:rPr>
          <w:sz w:val="20"/>
          <w:shd w:val="clear" w:color="auto" w:fill="FFFFFF"/>
        </w:rPr>
        <w:t>(pp. 115-120). Springer Berlin Heidelberg.</w:t>
      </w:r>
    </w:p>
    <w:p w14:paraId="797AF011" w14:textId="77777777" w:rsidR="000D6BD4" w:rsidRPr="0007159F" w:rsidRDefault="000D6BD4" w:rsidP="000D6BD4">
      <w:pPr>
        <w:pStyle w:val="References"/>
        <w:rPr>
          <w:sz w:val="20"/>
        </w:rPr>
      </w:pPr>
      <w:r w:rsidRPr="0007159F">
        <w:rPr>
          <w:sz w:val="20"/>
          <w:shd w:val="clear" w:color="auto" w:fill="FFFFFF"/>
        </w:rPr>
        <w:t>Phan, X. H., Nguyen, L. M., &amp; Horiguchi, S. (2008, April). Learning to classify short and sparse text &amp; web with hidden topics from large-scale data collections. In </w:t>
      </w:r>
      <w:r w:rsidRPr="0007159F">
        <w:rPr>
          <w:i/>
          <w:iCs/>
          <w:sz w:val="20"/>
          <w:shd w:val="clear" w:color="auto" w:fill="FFFFFF"/>
        </w:rPr>
        <w:t>Proceedings of the 17th international conference on World Wide Web</w:t>
      </w:r>
      <w:r w:rsidRPr="0007159F">
        <w:rPr>
          <w:sz w:val="20"/>
          <w:shd w:val="clear" w:color="auto" w:fill="FFFFFF"/>
        </w:rPr>
        <w:t> (pp. 91-100). ACM.</w:t>
      </w:r>
      <w:r w:rsidRPr="0007159F">
        <w:rPr>
          <w:sz w:val="20"/>
        </w:rPr>
        <w:t xml:space="preserve"> </w:t>
      </w:r>
    </w:p>
    <w:p w14:paraId="2035B04F" w14:textId="7C58B75B" w:rsidR="003847ED" w:rsidRDefault="003847ED" w:rsidP="003847ED">
      <w:pPr>
        <w:pStyle w:val="ColingReferencetext"/>
      </w:pPr>
    </w:p>
    <w:sectPr w:rsidR="003847ED" w:rsidSect="00A27768">
      <w:headerReference w:type="even" r:id="rId14"/>
      <w:type w:val="continuous"/>
      <w:pgSz w:w="11907" w:h="16840" w:code="9"/>
      <w:pgMar w:top="1418" w:right="1418" w:bottom="1418" w:left="1418" w:header="709" w:footer="709" w:gutter="0"/>
      <w:cols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8DE12" w14:textId="77777777" w:rsidR="00D9723C" w:rsidRDefault="00D9723C" w:rsidP="00EF4F47">
      <w:pPr>
        <w:pStyle w:val="ColingAuthor"/>
      </w:pPr>
      <w:r>
        <w:separator/>
      </w:r>
    </w:p>
  </w:endnote>
  <w:endnote w:type="continuationSeparator" w:id="0">
    <w:p w14:paraId="13936C24" w14:textId="77777777" w:rsidR="00D9723C" w:rsidRDefault="00D9723C"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Miriam">
    <w:charset w:val="B1"/>
    <w:family w:val="auto"/>
    <w:pitch w:val="variable"/>
    <w:sig w:usb0="00001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58B22" w14:textId="77777777" w:rsidR="00D9723C" w:rsidRDefault="00D9723C" w:rsidP="00AA79A2">
      <w:pPr>
        <w:pStyle w:val="ColingAuthor"/>
        <w:jc w:val="left"/>
      </w:pPr>
      <w:r>
        <w:separator/>
      </w:r>
    </w:p>
  </w:footnote>
  <w:footnote w:type="continuationSeparator" w:id="0">
    <w:p w14:paraId="58E6B4FA" w14:textId="77777777" w:rsidR="00D9723C" w:rsidRDefault="00D9723C" w:rsidP="00EF4F47">
      <w:pPr>
        <w:pStyle w:val="ColingAutho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68882" w14:textId="77777777" w:rsidR="00D9723C" w:rsidRDefault="00D9723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F2"/>
    <w:rsid w:val="000042E3"/>
    <w:rsid w:val="0001287A"/>
    <w:rsid w:val="00016F7B"/>
    <w:rsid w:val="000267E3"/>
    <w:rsid w:val="00035357"/>
    <w:rsid w:val="000365BF"/>
    <w:rsid w:val="00036911"/>
    <w:rsid w:val="00036CE3"/>
    <w:rsid w:val="0005130F"/>
    <w:rsid w:val="00052E1D"/>
    <w:rsid w:val="00060412"/>
    <w:rsid w:val="0007159F"/>
    <w:rsid w:val="000811E0"/>
    <w:rsid w:val="00085B01"/>
    <w:rsid w:val="00096240"/>
    <w:rsid w:val="000A39E5"/>
    <w:rsid w:val="000C13F3"/>
    <w:rsid w:val="000C4DAB"/>
    <w:rsid w:val="000D508A"/>
    <w:rsid w:val="000D6BD4"/>
    <w:rsid w:val="000E47D9"/>
    <w:rsid w:val="000E6DEC"/>
    <w:rsid w:val="000E7CE2"/>
    <w:rsid w:val="00112566"/>
    <w:rsid w:val="001228EC"/>
    <w:rsid w:val="001253AD"/>
    <w:rsid w:val="00131DE0"/>
    <w:rsid w:val="0014772B"/>
    <w:rsid w:val="001702CA"/>
    <w:rsid w:val="0018281A"/>
    <w:rsid w:val="001A1A91"/>
    <w:rsid w:val="001B1E87"/>
    <w:rsid w:val="001C5D42"/>
    <w:rsid w:val="001E3542"/>
    <w:rsid w:val="001E66FA"/>
    <w:rsid w:val="002069F4"/>
    <w:rsid w:val="00207BE8"/>
    <w:rsid w:val="00212A30"/>
    <w:rsid w:val="00215E3A"/>
    <w:rsid w:val="0022463D"/>
    <w:rsid w:val="00230EA3"/>
    <w:rsid w:val="0023533C"/>
    <w:rsid w:val="002410E9"/>
    <w:rsid w:val="00252111"/>
    <w:rsid w:val="00261524"/>
    <w:rsid w:val="002807D6"/>
    <w:rsid w:val="00291345"/>
    <w:rsid w:val="00295CA3"/>
    <w:rsid w:val="002E5440"/>
    <w:rsid w:val="003116BD"/>
    <w:rsid w:val="00320241"/>
    <w:rsid w:val="00334F54"/>
    <w:rsid w:val="00336532"/>
    <w:rsid w:val="003427A9"/>
    <w:rsid w:val="003732CD"/>
    <w:rsid w:val="00380885"/>
    <w:rsid w:val="003847ED"/>
    <w:rsid w:val="003A0A19"/>
    <w:rsid w:val="003B1456"/>
    <w:rsid w:val="003C4C2C"/>
    <w:rsid w:val="003D2464"/>
    <w:rsid w:val="00417806"/>
    <w:rsid w:val="00472C90"/>
    <w:rsid w:val="0047390E"/>
    <w:rsid w:val="004853E7"/>
    <w:rsid w:val="00485DFC"/>
    <w:rsid w:val="0048643E"/>
    <w:rsid w:val="00496819"/>
    <w:rsid w:val="004A58D1"/>
    <w:rsid w:val="004A781C"/>
    <w:rsid w:val="004D5EF6"/>
    <w:rsid w:val="004E4A32"/>
    <w:rsid w:val="004F1AEF"/>
    <w:rsid w:val="00516A29"/>
    <w:rsid w:val="005245B3"/>
    <w:rsid w:val="00544FE6"/>
    <w:rsid w:val="00551E34"/>
    <w:rsid w:val="005571C9"/>
    <w:rsid w:val="00570D5A"/>
    <w:rsid w:val="005715FD"/>
    <w:rsid w:val="00577DFF"/>
    <w:rsid w:val="00581A27"/>
    <w:rsid w:val="005A71F6"/>
    <w:rsid w:val="005B5472"/>
    <w:rsid w:val="005E58DD"/>
    <w:rsid w:val="005E784D"/>
    <w:rsid w:val="005E7BEA"/>
    <w:rsid w:val="00602776"/>
    <w:rsid w:val="00606EAB"/>
    <w:rsid w:val="00621973"/>
    <w:rsid w:val="00676D47"/>
    <w:rsid w:val="0068039A"/>
    <w:rsid w:val="00682362"/>
    <w:rsid w:val="00684B52"/>
    <w:rsid w:val="006A5705"/>
    <w:rsid w:val="006B17B4"/>
    <w:rsid w:val="006B7BD9"/>
    <w:rsid w:val="006C3850"/>
    <w:rsid w:val="006F225F"/>
    <w:rsid w:val="0070171B"/>
    <w:rsid w:val="00706181"/>
    <w:rsid w:val="00711BAD"/>
    <w:rsid w:val="007206F2"/>
    <w:rsid w:val="007337A8"/>
    <w:rsid w:val="00734C38"/>
    <w:rsid w:val="00753196"/>
    <w:rsid w:val="0076041D"/>
    <w:rsid w:val="00762054"/>
    <w:rsid w:val="007748AF"/>
    <w:rsid w:val="00783532"/>
    <w:rsid w:val="00783627"/>
    <w:rsid w:val="00794943"/>
    <w:rsid w:val="007B52E0"/>
    <w:rsid w:val="007C649A"/>
    <w:rsid w:val="007F3EC8"/>
    <w:rsid w:val="008003EA"/>
    <w:rsid w:val="00800AE8"/>
    <w:rsid w:val="00843662"/>
    <w:rsid w:val="00870E81"/>
    <w:rsid w:val="00871659"/>
    <w:rsid w:val="00886D3D"/>
    <w:rsid w:val="008B4F9B"/>
    <w:rsid w:val="008D5122"/>
    <w:rsid w:val="008E234A"/>
    <w:rsid w:val="008E730E"/>
    <w:rsid w:val="00914134"/>
    <w:rsid w:val="009174BF"/>
    <w:rsid w:val="0093180D"/>
    <w:rsid w:val="0094772F"/>
    <w:rsid w:val="00960D91"/>
    <w:rsid w:val="00986B83"/>
    <w:rsid w:val="00994D5D"/>
    <w:rsid w:val="009B7567"/>
    <w:rsid w:val="009D3F2B"/>
    <w:rsid w:val="009E1087"/>
    <w:rsid w:val="00A05A84"/>
    <w:rsid w:val="00A10B47"/>
    <w:rsid w:val="00A11806"/>
    <w:rsid w:val="00A15EBA"/>
    <w:rsid w:val="00A20AA7"/>
    <w:rsid w:val="00A25921"/>
    <w:rsid w:val="00A27768"/>
    <w:rsid w:val="00A30075"/>
    <w:rsid w:val="00A30DB9"/>
    <w:rsid w:val="00A43AC0"/>
    <w:rsid w:val="00A45396"/>
    <w:rsid w:val="00A578E5"/>
    <w:rsid w:val="00AA3752"/>
    <w:rsid w:val="00AA79A2"/>
    <w:rsid w:val="00AB57B9"/>
    <w:rsid w:val="00AC449B"/>
    <w:rsid w:val="00AD2D6B"/>
    <w:rsid w:val="00AD6A50"/>
    <w:rsid w:val="00AE063D"/>
    <w:rsid w:val="00AE4B27"/>
    <w:rsid w:val="00AF1C9E"/>
    <w:rsid w:val="00AF1DA8"/>
    <w:rsid w:val="00AF4936"/>
    <w:rsid w:val="00B133E7"/>
    <w:rsid w:val="00B203CC"/>
    <w:rsid w:val="00B26CF6"/>
    <w:rsid w:val="00B30D74"/>
    <w:rsid w:val="00B36BD3"/>
    <w:rsid w:val="00B40A9F"/>
    <w:rsid w:val="00B52350"/>
    <w:rsid w:val="00B525E6"/>
    <w:rsid w:val="00B53CD2"/>
    <w:rsid w:val="00B808DE"/>
    <w:rsid w:val="00BC7905"/>
    <w:rsid w:val="00BD6649"/>
    <w:rsid w:val="00C30C59"/>
    <w:rsid w:val="00C4264F"/>
    <w:rsid w:val="00C56D93"/>
    <w:rsid w:val="00C60E9B"/>
    <w:rsid w:val="00C82D64"/>
    <w:rsid w:val="00CC0AB3"/>
    <w:rsid w:val="00CC4F38"/>
    <w:rsid w:val="00CC5BE5"/>
    <w:rsid w:val="00CC7E87"/>
    <w:rsid w:val="00CF121C"/>
    <w:rsid w:val="00D048D2"/>
    <w:rsid w:val="00D3696C"/>
    <w:rsid w:val="00D714D3"/>
    <w:rsid w:val="00D73549"/>
    <w:rsid w:val="00D82967"/>
    <w:rsid w:val="00D8561B"/>
    <w:rsid w:val="00D9723C"/>
    <w:rsid w:val="00D976C3"/>
    <w:rsid w:val="00DA3D08"/>
    <w:rsid w:val="00DB0D84"/>
    <w:rsid w:val="00DB276F"/>
    <w:rsid w:val="00DD734F"/>
    <w:rsid w:val="00DE3A87"/>
    <w:rsid w:val="00DF7410"/>
    <w:rsid w:val="00E01C47"/>
    <w:rsid w:val="00E25CF2"/>
    <w:rsid w:val="00E42991"/>
    <w:rsid w:val="00E6603C"/>
    <w:rsid w:val="00E66548"/>
    <w:rsid w:val="00E86E09"/>
    <w:rsid w:val="00E96A3B"/>
    <w:rsid w:val="00EB6585"/>
    <w:rsid w:val="00ED19FD"/>
    <w:rsid w:val="00EF4F47"/>
    <w:rsid w:val="00F04B57"/>
    <w:rsid w:val="00F06331"/>
    <w:rsid w:val="00F201DE"/>
    <w:rsid w:val="00F31728"/>
    <w:rsid w:val="00F331F7"/>
    <w:rsid w:val="00F43EC6"/>
    <w:rsid w:val="00F476E9"/>
    <w:rsid w:val="00F919C5"/>
    <w:rsid w:val="00F942EC"/>
    <w:rsid w:val="00FC71A5"/>
    <w:rsid w:val="00FD0A4A"/>
    <w:rsid w:val="00FE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CD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4264F"/>
    <w:rPr>
      <w:lang w:val="en-IE" w:eastAsia="de-DE"/>
    </w:rPr>
  </w:style>
  <w:style w:type="paragraph" w:styleId="Heading1">
    <w:name w:val="heading 1"/>
    <w:basedOn w:val="Normal"/>
    <w:next w:val="Normal"/>
    <w:link w:val="Heading1Char"/>
    <w:rsid w:val="00AE4B2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sz w:val="24"/>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 w:val="24"/>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sz w:val="24"/>
    </w:rPr>
  </w:style>
  <w:style w:type="paragraph" w:customStyle="1" w:styleId="ColingEmail">
    <w:name w:val="Coling Email"/>
    <w:basedOn w:val="Normal"/>
    <w:qFormat/>
    <w:rsid w:val="00E01C47"/>
    <w:pPr>
      <w:spacing w:before="60" w:after="60"/>
      <w:jc w:val="center"/>
    </w:pPr>
    <w:rPr>
      <w:rFonts w:ascii="Courier New" w:hAnsi="Courier New"/>
      <w:sz w:val="24"/>
    </w:rPr>
  </w:style>
  <w:style w:type="paragraph" w:customStyle="1" w:styleId="ColingReferencetext">
    <w:name w:val="Coling Reference text"/>
    <w:basedOn w:val="ColingTextIndent"/>
    <w:link w:val="ColingReferencetextChar"/>
    <w:qFormat/>
    <w:rsid w:val="00960D91"/>
    <w:pPr>
      <w:spacing w:after="120"/>
      <w:ind w:left="227" w:hanging="227"/>
    </w:pPr>
    <w:rPr>
      <w:sz w:val="20"/>
    </w:rPr>
  </w:style>
  <w:style w:type="character" w:customStyle="1" w:styleId="ColingReferencetextChar">
    <w:name w:val="Coling Reference text Char"/>
    <w:basedOn w:val="ColingTextIndentChar"/>
    <w:link w:val="ColingReferencetext"/>
    <w:rsid w:val="00960D91"/>
    <w:rPr>
      <w:rFonts w:eastAsia="MS Mincho"/>
      <w:sz w:val="22"/>
      <w:lang w:val="en-US" w:eastAsia="de-DE" w:bidi="ar-SA"/>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basedOn w:val="ColingTextIndent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ind w:left="431" w:hanging="431"/>
      <w:jc w:val="both"/>
    </w:pPr>
    <w:rPr>
      <w:rFonts w:eastAsia="MS Mincho"/>
      <w:b/>
      <w:bCs/>
      <w:sz w:val="24"/>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 w:val="24"/>
      <w:szCs w:val="26"/>
    </w:rPr>
  </w:style>
  <w:style w:type="paragraph" w:customStyle="1" w:styleId="ColingSubsection">
    <w:name w:val="Coling Subsection"/>
    <w:basedOn w:val="ColingSection"/>
    <w:next w:val="ColingText"/>
    <w:qFormat/>
    <w:rsid w:val="00060412"/>
    <w:pPr>
      <w:numPr>
        <w:ilvl w:val="1"/>
      </w:numPr>
      <w:spacing w:before="160" w:after="120"/>
      <w:ind w:left="578" w:hanging="578"/>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cs="Tahoma"/>
      <w:sz w:val="16"/>
      <w:szCs w:val="16"/>
    </w:rPr>
  </w:style>
  <w:style w:type="character" w:customStyle="1" w:styleId="BalloonTextChar">
    <w:name w:val="Balloon Text Char"/>
    <w:link w:val="BalloonText"/>
    <w:rsid w:val="008E234A"/>
    <w:rPr>
      <w:rFonts w:ascii="Tahoma" w:hAnsi="Tahoma" w:cs="Tahoma"/>
      <w:sz w:val="16"/>
      <w:szCs w:val="16"/>
      <w:lang w:eastAsia="de-DE"/>
    </w:rPr>
  </w:style>
  <w:style w:type="character" w:customStyle="1" w:styleId="EACLTextChar">
    <w:name w:val="EACL Text Char"/>
    <w:basedOn w:val="DefaultParagraphFont"/>
    <w:link w:val="EACLText"/>
    <w:rsid w:val="0023533C"/>
    <w:rPr>
      <w:rFonts w:eastAsia="ＭＳ 明朝"/>
      <w:sz w:val="22"/>
      <w:lang w:eastAsia="de-DE"/>
    </w:rPr>
  </w:style>
  <w:style w:type="paragraph" w:customStyle="1" w:styleId="EACLText">
    <w:name w:val="EACL Text"/>
    <w:basedOn w:val="Normal"/>
    <w:next w:val="Normal"/>
    <w:link w:val="EACLTextChar"/>
    <w:rsid w:val="0023533C"/>
    <w:pPr>
      <w:jc w:val="both"/>
    </w:pPr>
    <w:rPr>
      <w:rFonts w:eastAsia="ＭＳ 明朝"/>
      <w:sz w:val="22"/>
      <w:lang w:val="en-US"/>
    </w:rPr>
  </w:style>
  <w:style w:type="paragraph" w:styleId="Caption">
    <w:name w:val="caption"/>
    <w:basedOn w:val="Normal"/>
    <w:next w:val="Normal"/>
    <w:qFormat/>
    <w:rsid w:val="00F476E9"/>
    <w:pPr>
      <w:spacing w:after="80"/>
      <w:jc w:val="center"/>
    </w:pPr>
    <w:rPr>
      <w:rFonts w:eastAsia="Times New Roman" w:cs="Miriam"/>
      <w:b/>
      <w:bCs/>
      <w:sz w:val="18"/>
      <w:szCs w:val="18"/>
      <w:lang w:val="en-US" w:eastAsia="en-AU"/>
    </w:rPr>
  </w:style>
  <w:style w:type="character" w:styleId="PlaceholderText">
    <w:name w:val="Placeholder Text"/>
    <w:basedOn w:val="DefaultParagraphFont"/>
    <w:uiPriority w:val="67"/>
    <w:rsid w:val="00682362"/>
    <w:rPr>
      <w:color w:val="808080"/>
    </w:rPr>
  </w:style>
  <w:style w:type="paragraph" w:customStyle="1" w:styleId="References">
    <w:name w:val="References"/>
    <w:basedOn w:val="Normal"/>
    <w:rsid w:val="000D6BD4"/>
    <w:pPr>
      <w:numPr>
        <w:numId w:val="4"/>
      </w:numPr>
      <w:spacing w:after="80"/>
    </w:pPr>
    <w:rPr>
      <w:rFonts w:eastAsia="Times New Roman"/>
      <w:sz w:val="18"/>
      <w:lang w:val="en-US" w:eastAsia="en-US"/>
    </w:rPr>
  </w:style>
  <w:style w:type="character" w:customStyle="1" w:styleId="apple-converted-space">
    <w:name w:val="apple-converted-space"/>
    <w:basedOn w:val="DefaultParagraphFont"/>
    <w:rsid w:val="00D369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te Level 1" w:semiHidden="1" w:uiPriority="99"/>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C4264F"/>
    <w:rPr>
      <w:lang w:val="en-IE" w:eastAsia="de-DE"/>
    </w:rPr>
  </w:style>
  <w:style w:type="paragraph" w:styleId="Heading1">
    <w:name w:val="heading 1"/>
    <w:basedOn w:val="Normal"/>
    <w:next w:val="Normal"/>
    <w:link w:val="Heading1Char"/>
    <w:rsid w:val="00AE4B2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sz w:val="24"/>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 w:val="24"/>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sz w:val="24"/>
    </w:rPr>
  </w:style>
  <w:style w:type="paragraph" w:customStyle="1" w:styleId="ColingEmail">
    <w:name w:val="Coling Email"/>
    <w:basedOn w:val="Normal"/>
    <w:qFormat/>
    <w:rsid w:val="00E01C47"/>
    <w:pPr>
      <w:spacing w:before="60" w:after="60"/>
      <w:jc w:val="center"/>
    </w:pPr>
    <w:rPr>
      <w:rFonts w:ascii="Courier New" w:hAnsi="Courier New"/>
      <w:sz w:val="24"/>
    </w:rPr>
  </w:style>
  <w:style w:type="paragraph" w:customStyle="1" w:styleId="ColingReferencetext">
    <w:name w:val="Coling Reference text"/>
    <w:basedOn w:val="ColingTextIndent"/>
    <w:link w:val="ColingReferencetextChar"/>
    <w:qFormat/>
    <w:rsid w:val="00960D91"/>
    <w:pPr>
      <w:spacing w:after="120"/>
      <w:ind w:left="227" w:hanging="227"/>
    </w:pPr>
    <w:rPr>
      <w:sz w:val="20"/>
    </w:rPr>
  </w:style>
  <w:style w:type="character" w:customStyle="1" w:styleId="ColingReferencetextChar">
    <w:name w:val="Coling Reference text Char"/>
    <w:basedOn w:val="ColingTextIndentChar"/>
    <w:link w:val="ColingReferencetext"/>
    <w:rsid w:val="00960D91"/>
    <w:rPr>
      <w:rFonts w:eastAsia="MS Mincho"/>
      <w:sz w:val="22"/>
      <w:lang w:val="en-US" w:eastAsia="de-DE" w:bidi="ar-SA"/>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basedOn w:val="ColingTextIndent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ind w:left="431" w:hanging="431"/>
      <w:jc w:val="both"/>
    </w:pPr>
    <w:rPr>
      <w:rFonts w:eastAsia="MS Mincho"/>
      <w:b/>
      <w:bCs/>
      <w:sz w:val="24"/>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 w:val="24"/>
      <w:szCs w:val="26"/>
    </w:rPr>
  </w:style>
  <w:style w:type="paragraph" w:customStyle="1" w:styleId="ColingSubsection">
    <w:name w:val="Coling Subsection"/>
    <w:basedOn w:val="ColingSection"/>
    <w:next w:val="ColingText"/>
    <w:qFormat/>
    <w:rsid w:val="00060412"/>
    <w:pPr>
      <w:numPr>
        <w:ilvl w:val="1"/>
      </w:numPr>
      <w:spacing w:before="160" w:after="120"/>
      <w:ind w:left="578" w:hanging="578"/>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cs="Tahoma"/>
      <w:sz w:val="16"/>
      <w:szCs w:val="16"/>
    </w:rPr>
  </w:style>
  <w:style w:type="character" w:customStyle="1" w:styleId="BalloonTextChar">
    <w:name w:val="Balloon Text Char"/>
    <w:link w:val="BalloonText"/>
    <w:rsid w:val="008E234A"/>
    <w:rPr>
      <w:rFonts w:ascii="Tahoma" w:hAnsi="Tahoma" w:cs="Tahoma"/>
      <w:sz w:val="16"/>
      <w:szCs w:val="16"/>
      <w:lang w:eastAsia="de-DE"/>
    </w:rPr>
  </w:style>
  <w:style w:type="character" w:customStyle="1" w:styleId="EACLTextChar">
    <w:name w:val="EACL Text Char"/>
    <w:basedOn w:val="DefaultParagraphFont"/>
    <w:link w:val="EACLText"/>
    <w:rsid w:val="0023533C"/>
    <w:rPr>
      <w:rFonts w:eastAsia="ＭＳ 明朝"/>
      <w:sz w:val="22"/>
      <w:lang w:eastAsia="de-DE"/>
    </w:rPr>
  </w:style>
  <w:style w:type="paragraph" w:customStyle="1" w:styleId="EACLText">
    <w:name w:val="EACL Text"/>
    <w:basedOn w:val="Normal"/>
    <w:next w:val="Normal"/>
    <w:link w:val="EACLTextChar"/>
    <w:rsid w:val="0023533C"/>
    <w:pPr>
      <w:jc w:val="both"/>
    </w:pPr>
    <w:rPr>
      <w:rFonts w:eastAsia="ＭＳ 明朝"/>
      <w:sz w:val="22"/>
      <w:lang w:val="en-US"/>
    </w:rPr>
  </w:style>
  <w:style w:type="paragraph" w:styleId="Caption">
    <w:name w:val="caption"/>
    <w:basedOn w:val="Normal"/>
    <w:next w:val="Normal"/>
    <w:qFormat/>
    <w:rsid w:val="00F476E9"/>
    <w:pPr>
      <w:spacing w:after="80"/>
      <w:jc w:val="center"/>
    </w:pPr>
    <w:rPr>
      <w:rFonts w:eastAsia="Times New Roman" w:cs="Miriam"/>
      <w:b/>
      <w:bCs/>
      <w:sz w:val="18"/>
      <w:szCs w:val="18"/>
      <w:lang w:val="en-US" w:eastAsia="en-AU"/>
    </w:rPr>
  </w:style>
  <w:style w:type="character" w:styleId="PlaceholderText">
    <w:name w:val="Placeholder Text"/>
    <w:basedOn w:val="DefaultParagraphFont"/>
    <w:uiPriority w:val="67"/>
    <w:rsid w:val="00682362"/>
    <w:rPr>
      <w:color w:val="808080"/>
    </w:rPr>
  </w:style>
  <w:style w:type="paragraph" w:customStyle="1" w:styleId="References">
    <w:name w:val="References"/>
    <w:basedOn w:val="Normal"/>
    <w:rsid w:val="000D6BD4"/>
    <w:pPr>
      <w:numPr>
        <w:numId w:val="4"/>
      </w:numPr>
      <w:spacing w:after="80"/>
    </w:pPr>
    <w:rPr>
      <w:rFonts w:eastAsia="Times New Roman"/>
      <w:sz w:val="18"/>
      <w:lang w:val="en-US" w:eastAsia="en-US"/>
    </w:rPr>
  </w:style>
  <w:style w:type="character" w:customStyle="1" w:styleId="apple-converted-space">
    <w:name w:val="apple-converted-space"/>
    <w:basedOn w:val="DefaultParagraphFont"/>
    <w:rsid w:val="00D36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86545">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1098449934">
      <w:bodyDiv w:val="1"/>
      <w:marLeft w:val="0"/>
      <w:marRight w:val="0"/>
      <w:marTop w:val="0"/>
      <w:marBottom w:val="0"/>
      <w:divBdr>
        <w:top w:val="none" w:sz="0" w:space="0" w:color="auto"/>
        <w:left w:val="none" w:sz="0" w:space="0" w:color="auto"/>
        <w:bottom w:val="none" w:sz="0" w:space="0" w:color="auto"/>
        <w:right w:val="none" w:sz="0" w:space="0" w:color="auto"/>
      </w:divBdr>
    </w:div>
    <w:div w:id="1654525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heildanesh:Downloads:coling2014:coling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coling2014.dot</Template>
  <TotalTime>583</TotalTime>
  <Pages>9</Pages>
  <Words>4225</Words>
  <Characters>24089</Characters>
  <Application>Microsoft Macintosh Word</Application>
  <DocSecurity>0</DocSecurity>
  <Lines>200</Lines>
  <Paragraphs>56</Paragraphs>
  <ScaleCrop>false</ScaleCrop>
  <HeadingPairs>
    <vt:vector size="6" baseType="variant">
      <vt:variant>
        <vt:lpstr>Title</vt:lpstr>
      </vt:variant>
      <vt:variant>
        <vt:i4>1</vt:i4>
      </vt:variant>
      <vt:variant>
        <vt:lpstr>タイトル</vt:lpstr>
      </vt:variant>
      <vt:variant>
        <vt:i4>1</vt:i4>
      </vt:variant>
      <vt:variant>
        <vt:lpstr>Titolo</vt:lpstr>
      </vt:variant>
      <vt:variant>
        <vt:i4>1</vt:i4>
      </vt:variant>
    </vt:vector>
  </HeadingPairs>
  <TitlesOfParts>
    <vt:vector size="3" baseType="lpstr">
      <vt:lpstr>Instructions for ACL-2013 Proceedings</vt:lpstr>
      <vt:lpstr>Instructions for ACL-2013 Proceedings</vt:lpstr>
      <vt:lpstr>Instructions for ACL-2010 Proceedings</vt:lpstr>
    </vt:vector>
  </TitlesOfParts>
  <Company>National Chi Nan University, Taiwan.</Company>
  <LinksUpToDate>false</LinksUpToDate>
  <CharactersWithSpaces>28258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Soheil Danesh</dc:creator>
  <cp:keywords/>
  <cp:lastModifiedBy>Soheil Danesh</cp:lastModifiedBy>
  <cp:revision>161</cp:revision>
  <cp:lastPrinted>1901-01-01T07:00:00Z</cp:lastPrinted>
  <dcterms:created xsi:type="dcterms:W3CDTF">2014-03-19T20:19:00Z</dcterms:created>
  <dcterms:modified xsi:type="dcterms:W3CDTF">2014-03-22T09:21:00Z</dcterms:modified>
</cp:coreProperties>
</file>