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3F" w:rsidRDefault="0084552C">
      <w:r>
        <w:t xml:space="preserve">A shorter version of this paper has been submitted to the ACL as a short paper. If the paper is accepted for COLING 2014, and not withdrawn by the authors, it will be withdrawn from ACL and any other conferences. </w:t>
      </w:r>
      <w:bookmarkStart w:id="0" w:name="_GoBack"/>
      <w:bookmarkEnd w:id="0"/>
    </w:p>
    <w:sectPr w:rsidR="008A073F" w:rsidSect="008A07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2C"/>
    <w:rsid w:val="0084552C"/>
    <w:rsid w:val="008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AB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Danesh</dc:creator>
  <cp:keywords/>
  <dc:description/>
  <cp:lastModifiedBy>Soheil Danesh</cp:lastModifiedBy>
  <cp:revision>1</cp:revision>
  <dcterms:created xsi:type="dcterms:W3CDTF">2014-03-22T09:29:00Z</dcterms:created>
  <dcterms:modified xsi:type="dcterms:W3CDTF">2014-03-22T09:32:00Z</dcterms:modified>
</cp:coreProperties>
</file>