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60"/>
        <w:jc w:val="center"/>
      </w:pPr>
      <w:r>
        <w:rPr>
          <w:rFonts w:ascii="Times New Roman" w:hAnsi="Times New Roman" w:eastAsia="Times New Roman"/>
          <w:b/>
          <w:i w:val="0"/>
          <w:sz w:val="32"/>
        </w:rPr>
        <w:t>Table A2. Full-Baseline Determinants of PatentMismatch Intensity</w:t>
      </w:r>
    </w:p>
    <w:p>
      <w:pPr>
        <w:spacing w:after="200"/>
        <w:jc w:val="both"/>
      </w:pPr>
      <w:r>
        <w:rPr>
          <w:rFonts w:ascii="Times New Roman" w:hAnsi="Times New Roman" w:eastAsia="Times New Roman"/>
          <w:b w:val="0"/>
          <w:i w:val="0"/>
          <w:sz w:val="22"/>
        </w:rPr>
        <w:t>This companion table presents firm-level cross-sectional regressions using PatentMismatch intensity rather than the extensive-margin indicator. The dependent variable is the share of AI-talking years during `2016-2025` that are flagged as PatentMismatch. Independent variables are baseline firm characteristics measured in 2016: log assets, cash/assets, leverage, R&amp;D/assets, CAPX/assets, ROA, and employees (k). All specifications include industry fixed effects based on baseline `sic2`, and standard errors clustered at the industry level are shown in parentheses. Columns (1)-(7) report one-variable specifications; column (8) includes all baseline characteristics jointly. Constants are omitted. (* p&lt;0.1, ** p&lt;0.05, *** p&lt;0.01).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68"/>
        <w:gridCol w:w="1568"/>
        <w:gridCol w:w="1568"/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3528"/>
            <w:vAlign w:val="center"/>
            <w:tcBorders>
              <w:top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Variable</w:t>
            </w:r>
          </w:p>
        </w:tc>
        <w:tc>
          <w:tcPr>
            <w:tcW w:type="dxa" w:w="10368"/>
            <w:gridSpan w:val="8"/>
            <w:vAlign w:val="center"/>
            <w:tcBorders>
              <w:top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/>
                <w:i w:val="0"/>
                <w:sz w:val="21"/>
              </w:rPr>
              <w:t>Dependent variable: PatentMismatch share among AI-talking years, 2016-2025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Log assets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Cash/assets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Leverage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R&amp;D/assets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CAPX/assets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ROA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Employees (k)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Multivar.</w:t>
            </w:r>
          </w:p>
        </w:tc>
      </w:tr>
      <w:tr>
        <w:tc>
          <w:tcPr>
            <w:tcW w:type="dxa" w:w="352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(1)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(2)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(3)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(4)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(5)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(6)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(7)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(8)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Log assets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0.004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-0.006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(0.004)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(0.005)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Cash/assets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-0.073*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-0.045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(0.042)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(0.052)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Leverage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0.060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0.042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(0.039)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(0.073)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R&amp;D/assets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-0.042*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-0.078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(0.023)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(0.050)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CAPX/assets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-0.031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-0.434*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(0.165)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(0.250)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ROA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0.011*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0.002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(0.007)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(0.013)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Employees (k)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0.000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-0.000</w:t>
            </w:r>
          </w:p>
        </w:tc>
      </w:tr>
      <w:tr>
        <w:tc>
          <w:tcPr>
            <w:tcW w:type="dxa" w:w="352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(0.000)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/>
                <w:sz w:val="21"/>
              </w:rPr>
              <w:t>(0.000)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Industry FE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All baseline covars.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N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Y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Baseline year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2016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2016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2016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2016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2016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2016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2016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2016</w:t>
            </w:r>
          </w:p>
        </w:tc>
      </w:tr>
      <w:tr>
        <w:tc>
          <w:tcPr>
            <w:tcW w:type="dxa" w:w="3528"/>
            <w:vAlign w:val="center"/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Adj. R²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0.271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0.272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0.271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0.141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0.272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0.272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0.265</w:t>
            </w:r>
          </w:p>
        </w:tc>
        <w:tc>
          <w:tcPr>
            <w:tcW w:type="dxa" w:w="1296"/>
            <w:vAlign w:val="center"/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0.135</w:t>
            </w:r>
          </w:p>
        </w:tc>
      </w:tr>
      <w:tr>
        <w:tc>
          <w:tcPr>
            <w:tcW w:type="dxa" w:w="3528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left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Observations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2,680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2,680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2,666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1,466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2,666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2,676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2,479</w:t>
            </w:r>
          </w:p>
        </w:tc>
        <w:tc>
          <w:tcPr>
            <w:tcW w:type="dxa" w:w="1296"/>
            <w:vAlign w:val="center"/>
            <w:tcBorders>
              <w:bottom w:val="single" w:sz="8" w:space="0" w:color="000000"/>
            </w:tcBorders>
          </w:tcPr>
          <w:p>
            <w:pPr>
              <w:spacing w:after="0" w:before="0"/>
              <w:jc w:val="center"/>
            </w:pPr>
            <w:r/>
            <w:r>
              <w:rPr>
                <w:rFonts w:ascii="Times New Roman" w:hAnsi="Times New Roman" w:eastAsia="Times New Roman"/>
                <w:b w:val="0"/>
                <w:i w:val="0"/>
                <w:sz w:val="21"/>
              </w:rPr>
              <w:t>1,331</w:t>
            </w:r>
          </w:p>
        </w:tc>
      </w:tr>
    </w:tbl>
    <w:sectPr w:rsidR="00FC693F" w:rsidRPr="0006063C" w:rsidSect="00034616">
      <w:pgSz w:w="15840" w:h="12240" w:orient="landscape"/>
      <w:pgMar w:top="864" w:right="864" w:bottom="864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