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B1. Measurement Audit of the Disclosure-Classification Layer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consolidates the current human-label base, the leakage-safe training pool, the adjudicated heldout-v4 benchmark, the human-human IRR rerun, and the final heldout-v4 evaluation of the selected hybrid classifier. The IRR rerun is human-human only, uses the balanced v3 rerun benchmark, and resolves all observed disagreements through adjudication. The selected deployment posture uses the API-A deferral rule rather than the leakage-flagged local-only diagnostic that was excluded from the current audit.</w:t>
      </w:r>
    </w:p>
    <w:p>
      <w:r>
        <w:rPr>
          <w:b/>
        </w:rPr>
        <w:t>Panel A. Human labeling and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Primary metric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Supporting metric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Adjudicated sentence base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Human-reviewed labels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Historical master corpus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Used to seed and refine the local sentence classifier.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Leakage-safe training pool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431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Human-reviewed labels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Excludes heldout-v4 items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Current training/calibration pool after removing benchmark sentences.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Current adjudicated benchmark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Final heldout-v4 labels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Deployment benchmark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Balanced benchmark used for the current hybrid evaluation posture.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Human-human IRR v3 rerun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Cohen's kappa = 0.850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12/12 disagreements adjudicated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By-class kappa: Actionable 0.852; Speculative 0.790; Irrelevant 0.907.</w:t>
            </w:r>
          </w:p>
        </w:tc>
      </w:tr>
    </w:tbl>
    <w:p>
      <w:r>
        <w:rPr>
          <w:b/>
        </w:rPr>
        <w:t>Panel B. Heldout-v4 model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Primary metric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Supporting metric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Local-only baseline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Accuracy = 78.3%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Macro-F1 = 77.1%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Binary relevance 90.0%; A/S 78.4%; defer 0/120.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Selected hybrid policy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Accuracy = 85.0%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Macro-F1 = 83.6%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api_a_conf_or_margin; binary relevance 91.7%; A/S 86.5%; defer 40/120.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