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Table B2. Attrition Map for the Expanded 2016-2025 Sample</w:t>
      </w:r>
    </w:p>
    <w:p>
      <w:pPr>
        <w:spacing w:after="160"/>
        <w:jc w:val="both"/>
      </w:pPr>
      <w:r>
        <w:rPr>
          <w:rFonts w:ascii="Times New Roman" w:hAnsi="Times New Roman" w:eastAsia="Times New Roman"/>
          <w:b w:val="0"/>
          <w:i w:val="0"/>
          <w:sz w:val="21"/>
        </w:rPr>
        <w:t>This table maps the live sample backbone underlying the expanded 2016-2025 AI-washing design. Panel A tracks the annual ever-speaker panel, Panel B tracks the filing-event backbone used for CAR and BHAR tests, and Panel C tracks the 2016 baseline cross-section used by legacy determinants specifications. The current attrition story is driven mainly by WRDS accounting coverage, CRSP market linkage, and long-horizon event windows rather than missing patent-timing fields.</w:t>
      </w:r>
    </w:p>
    <w:p>
      <w:r>
        <w:rPr>
          <w:b/>
        </w:rPr>
        <w:t>Panel A. Expanded annual ever-speaker panel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8"/>
        <w:gridCol w:w="3528"/>
        <w:gridCol w:w="3528"/>
        <w:gridCol w:w="3528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Share of parent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Main reason for shrinkage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Expanded ever-speaker backbone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50840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100.0% of annual panel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5,084 unique firms across 2016-2025.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AI-talking firm-years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13777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27.1% of annual panel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Disclosure-composition and PatentMismatch are economically meaningful here.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Rows with core annual controls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31006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61.0% of annual panel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Requires ln assets, leverage, cash, capx/assets, and ROA.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Rows with R&amp;D/assets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17934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35.3% of annual panel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Most restrictive accounting variable in the annual panel.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Rows with CRSP market-cap linkage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23747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46.7% of annual panel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Needed for valuation and financing tests.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Rows with next-year share growth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20391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40.1% of annual panel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Requires current and next-year shares outstanding.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Non-big rows inside market-linked sample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11876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50.0% of market-linked rows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Matched-sample yearly median market-cap split used in the non-big refinement.</w:t>
            </w:r>
          </w:p>
        </w:tc>
      </w:tr>
    </w:tbl>
    <w:p>
      <w:r>
        <w:rPr>
          <w:b/>
        </w:rPr>
        <w:t>Panel B. Filing-event backbone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8"/>
        <w:gridCol w:w="3528"/>
        <w:gridCol w:w="3528"/>
        <w:gridCol w:w="3528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Share of parent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Main reason for shrinkage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Filing-event estimation sample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7355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100.0% of event sample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Annual 10-K filing events with matched daily return histories.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CAR[-1,+2] complete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7344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99.9% of event sample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Immediate filing-window CAR sample after daily-return matching.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BHAR[+2,+21] complete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7274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98.9% of event sample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Requires one trading month of post-filing returns.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BHAR[+2,+63] complete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7108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96.6% of event sample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Three-month horizon drops later-sample filings mechanically.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BHAR[+2,+126] complete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6845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93.1% of event sample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Six-month horizon drops more late-sample filings.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BHAR[+2,+252] complete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4774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64.9% of event sample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One-year horizon is the main event-study attrition screen.</w:t>
            </w:r>
          </w:p>
        </w:tc>
      </w:tr>
    </w:tbl>
    <w:p>
      <w:r>
        <w:br w:type="page"/>
      </w:r>
    </w:p>
    <w:p>
      <w:r>
        <w:rPr>
          <w:b/>
        </w:rPr>
        <w:t>Panel C. Baseline cross-section for legacy determinants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28"/>
        <w:gridCol w:w="3528"/>
        <w:gridCol w:w="3528"/>
        <w:gridCol w:w="3528"/>
      </w:tblGrid>
      <w:tr>
        <w:tc>
          <w:tcPr>
            <w:tcW w:type="dxa" w:w="40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Share of parent</w:t>
            </w:r>
          </w:p>
        </w:tc>
        <w:tc>
          <w:tcPr>
            <w:tcW w:type="dxa" w:w="2232"/>
            <w:vAlign w:val="center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Main reason for shrinkage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2016 ever-speaker baseline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5084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100.0% of baseline cross-section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One row per ever-speaker firm in 2016.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2016 rows with core controls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2652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52.2% of baseline cross-section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Baseline multivariate sample with basic accounting controls present.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2016 rows with R&amp;D/assets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1466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28.8% of baseline cross-section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Primary pinch point for the fuller determinants appendix tables.</w:t>
            </w:r>
          </w:p>
        </w:tc>
      </w:tr>
      <w:tr>
        <w:tc>
          <w:tcPr>
            <w:tcW w:type="dxa" w:w="40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2016 rows with employment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2479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48.8% of baseline cross-section</w:t>
            </w:r>
          </w:p>
        </w:tc>
        <w:tc>
          <w:tcPr>
            <w:tcW w:type="dxa" w:w="2232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Second major source of legacy cross-sectional shrinkage.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