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sz w:val="32"/>
        </w:rPr>
        <w:t>Figure R1. AI Disclosure Volume and Composition Over Time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2"/>
        </w:rPr>
        <w:t>This figure uses the expanded 2016-2025 ever-speaker annual panel. Panel A plots mean AI sentence counts per firm-year, separating total AI sentences from the actionable and speculative subsets. Panel B plots mean actionable and speculative shares among AI-talking firm-years, together with the share of ever-speaker firm-years that contain any AI disclosure.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477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4776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