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5. Small-Firm Heterogeneity in AI-Washing Pricing Effects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reports heterogeneity by firm size for the filing-date and post-filing mismatch effects. Small firms are defined using the monthly active-sample median lagged market capitalization from CRSP MSF because NYSE breakpoints are not available in the local extract. For each outcome, the first two columns re-estimate the baseline regression separately in the small-firm and big-firm subsamples. The third column estimates a pooled interaction regression with PatentMismatch, Small, and PatentMismatch × Small. Controls include lagged size, leverage, cash/assets, and ROA, with industry fixed effects, filing-year fixed effects, and firm-clustered standard errors.</w:t>
      </w:r>
    </w:p>
    <w:p>
      <w:r>
        <w:rPr>
          <w:b/>
        </w:rPr>
        <w:t>CAR[-1,+1]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Small subsample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Big subsample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Pooled interaction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0.0013 (0.0065)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0.0014 (0.0044)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0.0011 (0.0041)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PatentMismatch × Small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0.0033 (0.0059)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Implied mismatch effect, small firms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0.0043 (0.0055)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Small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-0.0036 (0.0043)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A/S ratio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-0.0039 (0.0046)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0.0050 (0.0040)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0.0018 (0.0030)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AI Focus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0.0032 (0.0033)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-0.0042 (0.0026)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-0.0010 (0.0020)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Controls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Industry FE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Filing-year FE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3556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3571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7127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Adj. R-squared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0.013</w:t>
            </w:r>
          </w:p>
        </w:tc>
      </w:tr>
    </w:tbl>
    <w:p>
      <w:r>
        <w:rPr>
          <w:b/>
        </w:rPr>
        <w:t>BHAR[+2,+63]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Small subsample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Big subsample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Pooled interaction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0.0102 (0.0231)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-0.0055 (0.0133)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-0.0049 (0.0123)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PatentMismatch × Small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0.0171 (0.0191)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Implied mismatch effect, small firms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0.0122 (0.0189)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Small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-0.0188 (0.0121)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A/S ratio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0.0049 (0.0166)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0.0066 (0.0090)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0.0059 (0.0086)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AI Focus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-0.0037 (0.0114)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-0.0053 (0.0064)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-0.0042 (0.0059)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Controls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Industry FE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Filing-year FE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3435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3473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6908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Adj. R-squared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0.033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0.025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