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Table 12. Predictive Return Regressions with Richer Observables</w:t>
      </w:r>
    </w:p>
    <w:p>
      <w:pPr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This table tests whether the post-filing return pattern is subsumed by observable firm characteristics. The dependent variables are BHAR[+2,+63] in Panel A and BHAR[+2,+252] in Panel B. Each column adds progressively richer controls: core balance-sheet controls, operating controls, market characteristics, and prior AI patent history. All specifications include PatentMismatch, the A/S ratio, AI Focus, SIC2 fixed effects, filing-year fixed effects, and standard errors clustered by gvkey.</w:t>
      </w:r>
    </w:p>
    <w:p>
      <w:r>
        <w:rPr>
          <w:b/>
        </w:rPr>
        <w:t>Panel BHAR[+2,+63]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40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Core controls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+ operating controls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+ market characteristics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+ market + patent history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PatentMismatch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0.0005 (0.0099)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0.0058 (0.0124)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0.0086 (0.0110)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0.0065 (0.0117)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A_S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0.0021 (0.0073)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0.0076 (0.0088)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0.0115 (0.0079)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0.0104 (0.0081)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AI_Focus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-0.0044 (0.0053)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-0.0050 (0.0059)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-0.0072 (0.0056)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-0.0063 (0.0059)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Outcome mean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-0.0445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-0.0448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-0.0474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-0.0474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6958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4243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4113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4113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Adj. R-squared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0.043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0.064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0.227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0.227</w:t>
            </w:r>
          </w:p>
        </w:tc>
      </w:tr>
    </w:tbl>
    <w:p>
      <w:r>
        <w:rPr>
          <w:b/>
        </w:rPr>
        <w:t>Panel BHAR[+2,+252]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40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Core controls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+ operating controls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+ market characteristics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+ market + patent history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PatentMismatch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0.0216 (0.0266)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0.0206 (0.0319)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0.0322 (0.0224)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0.0365 (0.0234)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A_S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-0.0226 (0.0183)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-0.0065 (0.0213)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0.0090 (0.0154)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0.0115 (0.0158)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AI_Focus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0.0151 (0.0136)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0.0167 (0.0154)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0.0012 (0.0106)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-0.0007 (0.0108)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Outcome mean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-0.0807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-0.0569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-0.0569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-0.0569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4644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2936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2936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2936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Adj. R-squared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0.114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0.156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0.536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0.536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