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13. Monthly Pre/Post Event Path Around the Filing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reports monthly buy-and-hold abnormal return windows around the AI-related annual filing. The sample is restricted to the balanced set of filings with complete monthly return coverage from month -12 to month +12 around the filing month. Means are reported separately for mismatch and non-mismatch filings, and p-values are from unequal-variance t-tests.</w:t>
      </w:r>
    </w:p>
    <w:p>
      <w:r>
        <w:rPr>
          <w:b/>
        </w:rPr>
        <w:t>Panel Pre-filing windows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 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Diff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non-mismatch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BHAR[-12,-2]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0.683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0.931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-0.248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0.947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3018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BHAR[-6,-2]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-1.646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-1.276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-0.370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0.816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3018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BHAR[-3,-1]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2.588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2.759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-0.170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0.909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1204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3018</w:t>
            </w:r>
          </w:p>
        </w:tc>
      </w:tr>
    </w:tbl>
    <w:p>
      <w:r>
        <w:rPr>
          <w:b/>
        </w:rPr>
        <w:t>Panel Filing and post-filing windows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 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Diff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mismatch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non-mismatch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BHAR[0,0]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-0.379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-1.207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0.828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0.314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3018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BHAR[+1,+3]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-3.260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-1.984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-1.276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3018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BHAR[+1,+6]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-3.994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-5.411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1.417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0.394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3018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BHAR[+1,+12]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6.616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-5.312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11.927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0.199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1204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3018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