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Table 15. Matched AI-Talking Comparison Sample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Panel A reports covariate balance before and after one-to-one nearest-neighbor matching without replacement. Matches are exact on filing year and SIC2 industry and nearest on lagged size, lagged return history, and core balance-sheet characteristics, subject to a standardized-distance caliper. Panel B reports paired outcome differences between mismatch filings and matched non-mismatch filings.</w:t>
      </w:r>
    </w:p>
    <w:p>
      <w:r>
        <w:rPr>
          <w:b/>
        </w:rPr>
        <w:t>Panel A. Covariate balance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Pre treated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Pre control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Pre SMD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Matched treated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Matched control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Matched SMD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log(Market Cap, t-1)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14.1117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14.1728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14.1986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14.2391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-0.017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Annual BHAR, t-1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-0.0659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-0.0652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-0.1232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-0.1238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0.001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Annual Return, t-1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0.0799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0.0654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0.0049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0.0054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-0.001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ln(Assets)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7.2479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7.0949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0.063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7.1639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7.1291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0.015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Leverage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0.2670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0.2931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-0.069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0.2457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0.2417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0.019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Cash/Assets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0.2707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0.2763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0.2822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0.2888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-0.025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ROA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-0.2202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-0.1843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-0.022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-0.1383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-0.1371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-0.003</w:t>
            </w:r>
          </w:p>
        </w:tc>
      </w:tr>
    </w:tbl>
    <w:p>
      <w:r>
        <w:rPr>
          <w:b/>
        </w:rPr>
        <w:t>Panel B. Matched outcome differences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Treated mean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Control mean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Diff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pairs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CAR[-1,+1]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0.156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0.055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0.101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0.812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1294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BHAR[+2,+21]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-3.074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-2.581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-0.493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0.484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1270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BHAR[+2,+63]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-5.132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-4.774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-0.357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0.755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1213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BHAR[+2,+126]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-7.145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-8.138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0.992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0.564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1121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BHAR[+2,+252]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-6.483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-8.396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1.912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0.523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692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