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16. Construct-Variant Screen for Future AI Realization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screens nearby AI-washing constructs inside the AI-talking annual sample. Panel A asks which variants predict future AI grant realization at horizons t+1 and t+2. Panel B asks the same for future AI application realization. All specifications absorb firm and year fixed effects, control for AI Focus, log assets, leverage, cash, and ROA, and use firm-clustered standard errors. The goal is not to replace the canonical construct mechanically, but to learn whether nearby variants tell a cleaner capability-realization story.</w:t>
      </w:r>
    </w:p>
    <w:p>
      <w:r>
        <w:rPr>
          <w:b/>
        </w:rPr>
        <w:t>Panel A. Future AI grant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4"/>
        <w:gridCol w:w="4704"/>
        <w:gridCol w:w="4704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Log(1 + AI grants) t+1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Log(1 + AI grants) t+2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Canonical grant 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-0.0435*** (0.0134)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0.0085 (0.0081)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Strict grant 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-0.0274 (0.0222)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-0.0301 (0.0187)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Application 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-0.0308*** (0.0092)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0.0062 (0.0085)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Low credibility only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-0.0034 (0.0131)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0.0121 (0.0138)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Weak patent only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-0.1276*** (0.0239)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0.0020 (0.0152)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0.092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Observations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10129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10129</w:t>
            </w:r>
          </w:p>
        </w:tc>
      </w:tr>
    </w:tbl>
    <w:p>
      <w:r>
        <w:rPr>
          <w:b/>
        </w:rPr>
        <w:t>Panel B. Future AI application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4"/>
        <w:gridCol w:w="4704"/>
        <w:gridCol w:w="4704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Log(1 + AI applications) t+1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Log(1 + AI applications) t+2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Canonical grant 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0.0221* (0.0114)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0.0685*** (0.0141)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Strict grant 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-0.0130 (0.0149)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-0.0032 (0.0167)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Application 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-0.0100 (0.0086)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0.0157* (0.0089)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Low credibility only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0.0084 (0.0134)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0.0185 (0.0154)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Weak patent only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0.0521*** (0.0182)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0.1638*** (0.0232)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0.140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0.118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Observations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10129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10129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